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26-TA-193: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Kritēriji un kārtība, kādā valsts piedalās pedagogu darba samaksas finansēšanā vispārējās pamatizglītības un vispārējās vidējās izglītības pakāpē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formulēt tiesību akta projekta mērķa skaidrojumu atbilstoši Valsts kancelejas 2021.gadā izdotajām Vadlīnijām tiesību akta projekta sākotnējās ietekmes novērtēšanai un novērtējuma ziņojuma sagatavošanai vienotajā tiesību aktu izstrādes un saskaņošanas portālā. Vadlīnijas pieejamas: https://www.mk.gov.lv/lv/media/16905/download?attachment. Lūdzam ņemt vērā, ka sabiedrības pārstāvjiem iepazīstoties ar tiesību akta projekta mērķi ir jāgūst skaidra izpratne par šī projekta būtību.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Tiesību aktu projektu publiskajā portālā pārliecinājās, ka noteikumu projektam 27.01.2026. izsludināts saskaņošanas process, kurš noslēdzas 10.02.2026. un 27.01.2026. uzsākta publiskā apspriešana, kas noslēdzas 10.02.2026. Vēršam uzmanību, ka noteikumu projekta vienlaicīga virzīšana līdzdalības iespējām publiskajā apspriešanā un starpinstitucionālajā saskaņošanā nav atbalstāma prakse. Situācijā, kad vienā un tajā pašā termiņā norisinās publiskā apspriešana un saskaņošana, īpaši ieinteresētajām pusēm no sabiedrības pārstāvju vidus nav skaidrs, kurā procesā iesaistīties ar priekšlikumiem par tiem aktuālajiem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turpmāk nodrošināt, ka informācija par publiskās apspriešanas laikā saņemtajiem viedokļi un organizācijām, kuras tos sniedza, tiek iekļauti noteikumu projekta anotācijas 6.3.apakšpunktā atbilstoši Vadlīnijās tiesību akta projekta sākotnējās ietekmes novērtēšanai un novērtējuma ziņojuma sagatavošanai TAP portālā (pieejamas Ministru kabineta tīmekļvietnē -  https://www.mk.gov.lv/lv/media/16905/download?attachment) noteiktajam sniegt apkopojumu par līdzdalības procesa kopējiem rezultātiem (raksturojot visus izmantotos veidus) un to ietekmi uz projekta saturu. Respektīvi, aicinām turpmāk nodot tiesību akta projektu starpinstitucionālai saskaņošanai TAP portālā tikai pēc pilnībā aizpildītas anotācijas, t.i. pēc tam, kad ir noslēgusies sabiedriskā apspriešana.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09.02.2026. 14.21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09.02.2026. 14.21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Atzinumi_26-TA-193.docx</dc:title>
</cp:coreProperties>
</file>

<file path=docProps/custom.xml><?xml version="1.0" encoding="utf-8"?>
<Properties xmlns="http://schemas.openxmlformats.org/officeDocument/2006/custom-properties" xmlns:vt="http://schemas.openxmlformats.org/officeDocument/2006/docPropsVTypes"/>
</file>