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apstiprina katras Eiropas nozīmes aizsargājamās dabas teritorijas (Natura 2000) aizsardzības mērķus, balstoties uz tās izveidošanas mērķiem un ņemot vērā katra Eiropas nozīmes biotopa un sugas ekoloģiskās prasības un Eiropas nozīmes biotopu un sugu aizsardzības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normas projektu, jo tas izslēdz iespēju nodrošināt publisko apspriešanu un saskaņošanas procesu. Aizsargājamo teritoriju mērķis, pēc būtības nozīmē to, kādas darbības ar sekojošu normatīvo regulējumu tiks atļautas vai aizliegtas konkrētajā teritorijā.  Tāpēc,  aizsargājamo teritoriju mērķim jābūt noteiktam ar augstāka līmeņa normatīvo aktu- Ministru kabineta noteikumiem vai likumu un izejot publiskās apspriešanas un saskaņošanas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normu no normatīvā akta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19.03.2025.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19.03.2025.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