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krasta līnijas, augstākās bangas robežas un buferjoslas noteikšanas, aktualizēšanas, apstiprināšanas un datu reģistrēšanas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(Karšu lietotne)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informācijas sniegšanas pienākumus valsts iestādēm (valsts sabiedrības ar ierobežotu atbildību "Latvijas Vides, ģeoloģijas un meteoroloģijas centrs" un Latvijas Ģeotelpiskās informācijas aģentūrai), lūdzu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vērtējami noteikumu projekta 18. - 23.punkti.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punktu, tiesību aktu projektiem ir jāvērtē ietekme uz administratīvo slogu un apstiprinoša rezultāta gadījumā jāveic administratīvo izmaksu monetārs novērtējums.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19.11.2025.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19.11.2025.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Atzinumi_21-TA-839.docx</dc:title>
</cp:coreProperties>
</file>

<file path=docProps/custom.xml><?xml version="1.0" encoding="utf-8"?>
<Properties xmlns="http://schemas.openxmlformats.org/officeDocument/2006/custom-properties" xmlns:vt="http://schemas.openxmlformats.org/officeDocument/2006/docPropsVTypes"/>
</file>