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līdz 2024. gada 30. jūnijam Eiropas digitālās inovācijas centra komersantiem, izņemot sīkos (mikro), mazos, vidējos komersantus, un publiskajām iestādēm izsniegto digitālās attīstības ceļa karšu skaits – 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6. un 7. punktā minēto jēdzienu "Eiropas digitālās inovācijas centra komersanti", nepieciešamības gadījumā aizstājot šo jēdzienu ar vārdu "komersanti". Šobrīd no noteikumu Nr. 577 un noteikumu projekta normām nav viennozīmīgi izsecināms, kas ir noteikumu projekta 6. un 7. punktā minētās vienības.  Līdzīgi lūdzam izvērtēt un skaidrot, kas ir domāts ar vienībām noteikumu projekta 12.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līdz 2024. gada 30. jūnijam komersantiem, izņemot sīkos (mikro), mazos, vidējos komersantus, un publiskajām iestādēm izsniegto digitālās attīstības ceļa karšu skaits – 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vertAlign w:val="superscript"/>
                <w:rtl w:val="0"/>
              </w:rPr>
              <w:t xml:space="preserve">3</w:t>
            </w:r>
            <w:r w:rsidR="00000000" w:rsidRPr="00000000" w:rsidDel="00000000">
              <w:rPr>
                <w:rtl w:val="0"/>
              </w:rPr>
              <w:t xml:space="preserve">Eiropas digitālās inovācijas centrs nepagarina noslēgto līgumu ar Eiropas Komisiju programmas “Digitālā Eiropa” ietvaros atbilstoši Atveseļošanas fonda īstenošanas periodam, tad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minēto izmaksu segšanai Centrālā finanšu un līgumu aģentūra sniedz saskaņā ar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 (turpmāk – Komisijas regula Nr. 2023/2831), un tas ir uzskatāms par komercdarbības atbalstu Eiropas digitālās inovācijas centra kā inovācijas kopas dalībniekiem. </w:t>
            </w:r>
            <w:r w:rsidR="00000000" w:rsidRPr="00000000" w:rsidDel="00000000">
              <w:rPr>
                <w:i w:val="1"/>
                <w:rtl w:val="0"/>
              </w:rPr>
              <w:t xml:space="preserve">De minimis</w:t>
            </w:r>
            <w:r w:rsidR="00000000" w:rsidRPr="00000000" w:rsidDel="00000000">
              <w:rPr>
                <w:rtl w:val="0"/>
              </w:rPr>
              <w:t xml:space="preserve"> atbalsts piešķirams Eiropas digitālās inovācijas centra dalībniekiem pēc līguma ar Eiropas Komisiju par programmas “Digitālā Eiropa” finansējuma piešķiršanu beigām, bet ne ātrāk kā ar 2023. gada 1. septembri.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 punktu, nodrošinot skaidras tiesību normas. Norādām, ka nav viennozīmīgi skaidrs, ko un kam Centrālā finanšu un līgumu aģentūra sniedz (arī skaitlis "3" aizstājams ar vārdu "Ja"). Līdzīgi lūdzam precizēt noteikumu projekta 54. 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36.18. laikā no 30 dienām pēc līguma noslēgšanas ar Centrālo finanšu un līgumu aģentūru, bet ne vēlāk kā līdz 2023. gada 1. decembrim elektroniski iesniegt Ekonomikas ministrijā stratēģiski svarīgā projekta komunikācijas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Oficiālo publikāciju un tiesiskās informācijas likuma 9. panta ceturtajai daļai normatīvajam aktam vai tā daļai nav atpakaļejoša spēka, izņemot likumā īpaši paredzētus gadījumus. Attiecīgi lūdzam noteikumu projekta 31. punktā precizēt datumu, līdz kuram vēlākais iesniedzams attiecīgais plāns.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49.4.1. gala labuma guvējs ar tādu attiecīgā jomā kompetentas institūcijas lēmumu, prokurora priekšrakstu par sodu vai tiesas spriedumu, kas stājies spēkā un kļuvis neapstrīdams un nepārsūdzams, ir sodīts par pārkāpumu, kas izpaužas 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pretēji noteikumu projekta anotācijā minētajam noteikumu projektā paredzētie izslēgšanas kritēriju formulējumi atšķiras no citos normatīvajos aktos formulētajiem izslēgšanas kritērijiem, noteikumu projektā nesniedzot tam atbilstošu pamatojumu, tādēļ lūdzam papildināt noteikumu projekta anotāciju ar atbilstošu skaidrojumu par noteikumu projekta 37. un 38. punkta nepieciešamību un mērķi vai svītrot vai precizēt minētos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Centrālā finanšu un līgumu aģentūra pieņem lēmumu par Eiropas digitālās inovācijas centra atbilstību Komisijas regulas Nr. </w:t>
            </w:r>
            <w:r w:rsidR="00000000" w:rsidRPr="00000000" w:rsidDel="00000000">
              <w:rPr>
                <w:rtl w:val="0"/>
              </w:rPr>
              <w:t xml:space="preserve">651/2014</w:t>
            </w:r>
            <w:r w:rsidR="00000000" w:rsidRPr="00000000" w:rsidDel="00000000">
              <w:rPr>
                <w:rtl w:val="0"/>
              </w:rPr>
              <w:t xml:space="preserve"> 27. panta 2. punkta nosacījumiem, tādējādi piešķirot komercdarbības atbalstu šo noteikumu </w:t>
            </w:r>
            <w:r w:rsidR="00000000" w:rsidRPr="00000000" w:rsidDel="00000000">
              <w:rPr>
                <w:rtl w:val="0"/>
              </w:rPr>
              <w:t xml:space="preserve">31.</w:t>
            </w:r>
            <w:r w:rsidR="00000000" w:rsidRPr="00000000" w:rsidDel="00000000">
              <w:rPr>
                <w:rtl w:val="0"/>
              </w:rPr>
              <w:t xml:space="preserve"> punktā</w:t>
            </w:r>
            <w:r w:rsidR="00000000" w:rsidRPr="00000000" w:rsidDel="00000000">
              <w:rPr>
                <w:rtl w:val="0"/>
              </w:rPr>
              <w:t xml:space="preserve"> noteiktajām attiecināmajām izmaksām Eiropas digitālās inovācijas centra kā inovācijas kopas darbību īstenošanai. Par komercdarbības atbalsta piešķiršanas brīdi uzskatāms brīdis, kad Centrālā finanšu un līgumu aģentūra pieņem lēmumu par komercdarbības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39. punktu, tai skaitā vārdus "tādējādi piešķirot komercdarbības atbalstu". No piedāvātās redakcijas nav saprotams, vai lēmums par atbilstību regulas nosacījumiem un lēmums par komercdarbības atbalsta piešķiršanu veido divus atsevišķus lēmumus, un kāds ir pamatojums šādam risinājumam. Ierosinām tā vietā noteikumu projektā vienuviet paredzēt nosacījumus, pie kādiem pieņem lēmumu par komercdarbības atbalsta piešķiršanu, paredzot kā priekšnosacījumu minētā lēmuma pieņemšanai atbilstību attiecīgās regulas prasībām (piemēram, "Ja Eiropas digitālās inovācijas centrs atbilst Komisijas regulas Nr. 651/2014 27. panta 2. punkta nosacījumiem, Centrālā finanšu un līgumu aģentūra pieņem lēmumu par komercdarbības atbalsta piešķiršanu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gadījumā Centrālā finanšu un līgumu aģentūra pieņem lēmumu par katra inovācijas kopas dalībnieka atbilstību Komisijas regulas Nr. </w:t>
            </w:r>
            <w:r w:rsidR="00000000" w:rsidRPr="00000000" w:rsidDel="00000000">
              <w:rPr>
                <w:rtl w:val="0"/>
              </w:rPr>
              <w:t xml:space="preserve">2023/2831</w:t>
            </w:r>
            <w:r w:rsidR="00000000" w:rsidRPr="00000000" w:rsidDel="00000000">
              <w:rPr>
                <w:rtl w:val="0"/>
              </w:rPr>
              <w:t xml:space="preserve"> 1. panta 1. punkta nosacījumiem saskaņā ar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noteikto Centrālā finanšu un līgumu aģentūra pārbauda inovācijas kopas dalībnieku atbilstību komercdarbības atbalsta nosacījumiem un pieņem lēmumu par komercdarbības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43. punktu, nodrošinot skaidras normas. Proti, lūdzam sadalīt attiecīgo regulējumu daļās, svītrot atsauci uz noteikumu Nr. 577 18. punktu, kas regulē līguma noslēgšanas procedūru, kā arī atkārtoti nenorādīt uz atbilstības pārbaudi iepretim komercdarbības atbalsta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Komisijas regulas Nr. </w:t>
            </w:r>
            <w:r w:rsidR="00000000" w:rsidRPr="00000000" w:rsidDel="00000000">
              <w:rPr>
                <w:rtl w:val="0"/>
              </w:rPr>
              <w:t xml:space="preserve">2023/2831</w:t>
            </w:r>
            <w:r w:rsidR="00000000" w:rsidRPr="00000000" w:rsidDel="00000000">
              <w:rPr>
                <w:rtl w:val="0"/>
              </w:rPr>
              <w:t xml:space="preserve"> 1. panta 1. un 2. punktā un 3. panta 2. punktā noteiktajās neatbalstāmajās nozarēs un darbībās un pretendē uz atbalstu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2023. gada 13. decembra Regulas ES Nr. 2023/2831 par Līguma par Eiropas Savienības darbību 107. un 108. panta piemērošanu de minimis atbalstam (turpmāk - regula Nr. 2023/2831) 3. panta 2. punkts neparedz neatbalstāmās nozares un darbības, bet 1. panta 2. punkts atkārto vairākas 1. panta 1. punktā noteiktās darbības, kā arī norāda arī uz darbībām, uz kurām attiecas šīs regulas darbības joma, tādēļ lūdzam atbilstoši precizēt noteikumu projekta 45. punktu (noteikumu Nr. 577 57.1. apakšpunktu), svītrojot atsauces uz minētajām regulas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2. Komisijas regulas Nr. </w:t>
            </w:r>
            <w:r w:rsidR="00000000" w:rsidRPr="00000000" w:rsidDel="00000000">
              <w:rPr>
                <w:rtl w:val="0"/>
              </w:rPr>
              <w:t xml:space="preserve">651/2014</w:t>
            </w:r>
            <w:r w:rsidR="00000000" w:rsidRPr="00000000" w:rsidDel="00000000">
              <w:rPr>
                <w:rtl w:val="0"/>
              </w:rPr>
              <w:t xml:space="preserve"> 1. panta 3. punktā noteiktajās neatbalstāmajās nozarēs un darbībās atbilstoši Komisijas regulas Nr. 651/2014 2. panta 8., 9., 10. un 11. punktā noteiktajām definīcijām un pretendē uz atbalstu saskaņā ar Komisijas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46. punktā svītrot vārdus un skaitļus "atbilstoši Komisijas regulas Nr. 651/2014 2. panta 8., 9., 10. un 11. punktā noteiktajām definīcijām", jo attiecīgajām norādēm nav juridiskas slodzes. Kā arī lūdzam noteikumu Nr. 577 57.12. apakšpunkta tālākajos apakšpunktos svītrot vārdus "un pretendē uz atbalstu saskaņā ar Komisijas regulu Nr. 651/2014", jo minētais nepārprotami norādīts 57.12. apakšpunkta ievaddaļā.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2</w:t>
            </w:r>
            <w:r w:rsidR="00000000" w:rsidRPr="00000000" w:rsidDel="00000000">
              <w:rPr>
                <w:rtl w:val="0"/>
              </w:rPr>
              <w:t xml:space="preserve"> Centrālā finanšu un līgumu aģentūra pirms komercdarbības atbalsta piešķiršanas Eiropas digitālās inovācijas centra kā inovācijas kopas dalībniekiem pirms </w:t>
            </w:r>
            <w:r w:rsidR="00000000" w:rsidRPr="00000000" w:rsidDel="00000000">
              <w:rPr>
                <w:i w:val="1"/>
                <w:rtl w:val="0"/>
              </w:rPr>
              <w:t xml:space="preserve">de minimis</w:t>
            </w:r>
            <w:r w:rsidR="00000000" w:rsidRPr="00000000" w:rsidDel="00000000">
              <w:rPr>
                <w:rtl w:val="0"/>
              </w:rPr>
              <w:t xml:space="preserve"> atbalsta piešķiršanas saskaņā ar Komisijas regulu Nr. </w:t>
            </w:r>
            <w:r w:rsidR="00000000" w:rsidRPr="00000000" w:rsidDel="00000000">
              <w:rPr>
                <w:rtl w:val="0"/>
              </w:rPr>
              <w:t xml:space="preserve">2023/2831</w:t>
            </w:r>
            <w:r w:rsidR="00000000" w:rsidRPr="00000000" w:rsidDel="00000000">
              <w:rPr>
                <w:rtl w:val="0"/>
              </w:rPr>
              <w:t xml:space="preserve">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gadījumā veic atbilstības pārbaudi šo noteikumu </w:t>
            </w:r>
            <w:r w:rsidR="00000000" w:rsidRPr="00000000" w:rsidDel="00000000">
              <w:rPr>
                <w:rtl w:val="0"/>
              </w:rPr>
              <w:t xml:space="preserve">57.1.</w:t>
            </w:r>
            <w:r w:rsidR="00000000" w:rsidRPr="00000000" w:rsidDel="00000000">
              <w:rPr>
                <w:rtl w:val="0"/>
              </w:rPr>
              <w:t xml:space="preserve">, </w:t>
            </w:r>
            <w:r w:rsidR="00000000" w:rsidRPr="00000000" w:rsidDel="00000000">
              <w:rPr>
                <w:rtl w:val="0"/>
              </w:rPr>
              <w:t xml:space="preserve">57.3.</w:t>
            </w:r>
            <w:r w:rsidR="00000000" w:rsidRPr="00000000" w:rsidDel="00000000">
              <w:rPr>
                <w:rtl w:val="0"/>
              </w:rPr>
              <w:t xml:space="preserve">, </w:t>
            </w:r>
            <w:r w:rsidR="00000000" w:rsidRPr="00000000" w:rsidDel="00000000">
              <w:rPr>
                <w:rtl w:val="0"/>
              </w:rPr>
              <w:t xml:space="preserve">57.4.</w:t>
            </w:r>
            <w:r w:rsidR="00000000" w:rsidRPr="00000000" w:rsidDel="00000000">
              <w:rPr>
                <w:rtl w:val="0"/>
              </w:rPr>
              <w:t xml:space="preserve">, </w:t>
            </w:r>
            <w:r w:rsidR="00000000" w:rsidRPr="00000000" w:rsidDel="00000000">
              <w:rPr>
                <w:rtl w:val="0"/>
              </w:rPr>
              <w:t xml:space="preserve">57.5.</w:t>
            </w:r>
            <w:r w:rsidR="00000000" w:rsidRPr="00000000" w:rsidDel="00000000">
              <w:rPr>
                <w:rtl w:val="0"/>
              </w:rPr>
              <w:t xml:space="preserve">, </w:t>
            </w:r>
            <w:r w:rsidR="00000000" w:rsidRPr="00000000" w:rsidDel="00000000">
              <w:rPr>
                <w:rtl w:val="0"/>
              </w:rPr>
              <w:t xml:space="preserve">57.6.</w:t>
            </w:r>
            <w:r w:rsidR="00000000" w:rsidRPr="00000000" w:rsidDel="00000000">
              <w:rPr>
                <w:rtl w:val="0"/>
              </w:rPr>
              <w:t xml:space="preserve">, </w:t>
            </w:r>
            <w:r w:rsidR="00000000" w:rsidRPr="00000000" w:rsidDel="00000000">
              <w:rPr>
                <w:rtl w:val="0"/>
              </w:rPr>
              <w:t xml:space="preserve">57.7.</w:t>
            </w:r>
            <w:r w:rsidR="00000000" w:rsidRPr="00000000" w:rsidDel="00000000">
              <w:rPr>
                <w:rtl w:val="0"/>
              </w:rPr>
              <w:t xml:space="preserve">, </w:t>
            </w:r>
            <w:r w:rsidR="00000000" w:rsidRPr="00000000" w:rsidDel="00000000">
              <w:rPr>
                <w:rtl w:val="0"/>
              </w:rPr>
              <w:t xml:space="preserve">57.8.</w:t>
            </w:r>
            <w:r w:rsidR="00000000" w:rsidRPr="00000000" w:rsidDel="00000000">
              <w:rPr>
                <w:rtl w:val="0"/>
              </w:rPr>
              <w:t xml:space="preserve">, </w:t>
            </w:r>
            <w:r w:rsidR="00000000" w:rsidRPr="00000000" w:rsidDel="00000000">
              <w:rPr>
                <w:rtl w:val="0"/>
              </w:rPr>
              <w:t xml:space="preserve">57.9.</w:t>
            </w:r>
            <w:r w:rsidR="00000000" w:rsidRPr="00000000" w:rsidDel="00000000">
              <w:rPr>
                <w:rtl w:val="0"/>
              </w:rPr>
              <w:t xml:space="preserve">, </w:t>
            </w:r>
            <w:r w:rsidR="00000000" w:rsidRPr="00000000" w:rsidDel="00000000">
              <w:rPr>
                <w:rtl w:val="0"/>
              </w:rPr>
              <w:t xml:space="preserve">57.13.</w:t>
            </w:r>
            <w:r w:rsidR="00000000" w:rsidRPr="00000000" w:rsidDel="00000000">
              <w:rPr>
                <w:rtl w:val="0"/>
              </w:rPr>
              <w:t xml:space="preserve"> un </w:t>
            </w:r>
            <w:r w:rsidR="00000000" w:rsidRPr="00000000" w:rsidDel="00000000">
              <w:rPr>
                <w:rtl w:val="0"/>
              </w:rPr>
              <w:t xml:space="preserve">57.14. </w:t>
            </w:r>
            <w:r w:rsidR="00000000" w:rsidRPr="00000000" w:rsidDel="00000000">
              <w:rPr>
                <w:rtl w:val="0"/>
              </w:rPr>
              <w:t xml:space="preserve">apakšpunktā</w:t>
            </w:r>
            <w:r w:rsidR="00000000" w:rsidRPr="00000000" w:rsidDel="00000000">
              <w:rPr>
                <w:rtl w:val="0"/>
              </w:rPr>
              <w:t xml:space="preserve"> minētajām neatbalstāmajām nozarēm un darbībām un </w:t>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49.</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47. punktu ("pirms komercdarbības atbalsta piešķiršanas Eiropas digitālās inovācijas centra kā inovācijas kopas dalībniekiem pirms de minimis atbalsta piešķiršanas"), skaidri norādot, pirms kāda atbalsta piešķiršanas tiek veikta attiecīgā pārbaude.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Eiropas digitālās inovācijas centrs, ievērojot Komisijas regulas Nr. </w:t>
            </w:r>
            <w:r w:rsidR="00000000" w:rsidRPr="00000000" w:rsidDel="00000000">
              <w:rPr>
                <w:rtl w:val="0"/>
              </w:rPr>
              <w:t xml:space="preserve">651/2014</w:t>
            </w:r>
            <w:r w:rsidR="00000000" w:rsidRPr="00000000" w:rsidDel="00000000">
              <w:rPr>
                <w:rtl w:val="0"/>
              </w:rPr>
              <w:t xml:space="preserve"> 8. pantu, saņemto atbalstu saskaņā ar Komisijas regulas Nr.  </w:t>
            </w:r>
            <w:r w:rsidR="00000000" w:rsidRPr="00000000" w:rsidDel="00000000">
              <w:rPr>
                <w:rtl w:val="0"/>
              </w:rPr>
              <w:t xml:space="preserve">651/2014</w:t>
            </w:r>
            <w:r w:rsidR="00000000" w:rsidRPr="00000000" w:rsidDel="00000000">
              <w:rPr>
                <w:rtl w:val="0"/>
              </w:rPr>
              <w:t xml:space="preserve"> 27. pantu un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gadījumā, ievērojot Komisijas regulu Nr. </w:t>
            </w:r>
            <w:r w:rsidR="00000000" w:rsidRPr="00000000" w:rsidDel="00000000">
              <w:rPr>
                <w:rtl w:val="0"/>
              </w:rPr>
              <w:t xml:space="preserve">2023/2831</w:t>
            </w:r>
            <w:r w:rsidR="00000000" w:rsidRPr="00000000" w:rsidDel="00000000">
              <w:rPr>
                <w:rtl w:val="0"/>
              </w:rPr>
              <w:t xml:space="preserve">, saņemto atbalstu saskaņā ar Komisijas regulu Nr. 2023/2831 drīkst kumulēt ar programmas "Digitālā Eiropa" ietvaros sniegto atbalstu, tai skaitā par vienām un tām pašām attiecināmajām izmaksām, izvairoties no dubutfinansējuma, ja netiek pārsniegta lielākā saskaņā ar Komisijas regulas Nr. </w:t>
            </w:r>
            <w:r w:rsidR="00000000" w:rsidRPr="00000000" w:rsidDel="00000000">
              <w:rPr>
                <w:rtl w:val="0"/>
              </w:rPr>
              <w:t xml:space="preserve">651/2014</w:t>
            </w:r>
            <w:r w:rsidR="00000000" w:rsidRPr="00000000" w:rsidDel="00000000">
              <w:rPr>
                <w:rtl w:val="0"/>
              </w:rPr>
              <w:t xml:space="preserve"> 27. pantu noteiktā atbalsta intensitāte un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gadījumā Komisijas regulas Nr. 2023/2831 3. panta 2. punktā noteiktais robežlielums.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60. un 61. punktu, nodrošinot, ka nedublējas minētajās vienībās ietvertais regulējums attiecībā uz regulā Nr. 2023/2831 paredzētā komercdarbības atbalsta kumulāciju ar citu komercdarbības atbalstu. Papildus lūdzam minētajās noteikumu projekta vienībās pēc iespējas izvairīties no minētās regulas pārrakstīšanas, bet tā vietā atsaukties uz šīs regulas 5. panta 3. punktu, informāciju par šīs regulas vienības ieviešanu ietverot arī noteikumu projekta anotācijas 5.4. sadaļas 1.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Līdz automatizētās digitālās attīstības ceļa kartes pieejamībai saskaņā ar šo noteikumu </w:t>
            </w:r>
            <w:r w:rsidR="00000000" w:rsidRPr="00000000" w:rsidDel="00000000">
              <w:rPr>
                <w:rtl w:val="0"/>
              </w:rPr>
              <w:t xml:space="preserve">36.13.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apakšpunktu</w:t>
            </w:r>
            <w:r w:rsidR="00000000" w:rsidRPr="00000000" w:rsidDel="00000000">
              <w:rPr>
                <w:rtl w:val="0"/>
              </w:rPr>
              <w:t xml:space="preserve"> un līdz automatizētās digitālās attīstības ceļa kartes un atzinuma pieejamībai saskaņā ar šo noteikumu </w:t>
            </w:r>
            <w:r w:rsidR="00000000" w:rsidRPr="00000000" w:rsidDel="00000000">
              <w:rPr>
                <w:rtl w:val="0"/>
              </w:rPr>
              <w:t xml:space="preserve">36.13.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apakšpunktu</w:t>
            </w:r>
            <w:r w:rsidR="00000000" w:rsidRPr="00000000" w:rsidDel="00000000">
              <w:rPr>
                <w:rtl w:val="0"/>
              </w:rPr>
              <w:t xml:space="preserve"> Eiropas digitālās inovācijas centrs nodrošina digitālās attīstības ceļa kartes un atzinumu izsniegšanu šo noteikumu </w:t>
            </w:r>
            <w:r w:rsidR="00000000" w:rsidRPr="00000000" w:rsidDel="00000000">
              <w:rPr>
                <w:rtl w:val="0"/>
              </w:rPr>
              <w:t xml:space="preserve">36.13.</w:t>
            </w:r>
            <w:r w:rsidR="00000000" w:rsidRPr="00000000" w:rsidDel="00000000">
              <w:rPr>
                <w:rtl w:val="0"/>
              </w:rPr>
              <w:t xml:space="preserve"> un </w:t>
            </w:r>
            <w:r w:rsidR="00000000" w:rsidRPr="00000000" w:rsidDel="00000000">
              <w:rPr>
                <w:rtl w:val="0"/>
              </w:rPr>
              <w:t xml:space="preserve">36.14. </w:t>
            </w:r>
            <w:r w:rsidR="00000000" w:rsidRPr="00000000" w:rsidDel="00000000">
              <w:rPr>
                <w:rtl w:val="0"/>
              </w:rPr>
              <w:t xml:space="preserve">apakšpunktā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 577 36.13. un 36.14. apakšpunkts neparedz digitālās attīstības ceļa kartes un atzinumu izsniegšanas kārtību, tādēļ lūdzam precizēt noteikumu projekta 64. punktā ietvertās attiecīgās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49.1.1. tas ir reģistrēts Latvijas Republikas Uzņēmumu reģistrā un tas veic saimniecisko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Republikas Uzņēmumu reģistra vestajā Uzņēmumu reģistrā reģistrē uzņēmumus (zemnieku un zvejnieku saimniecības, kooperatīvās sabiedrības, individuālos uzņēmumus, Eiropas kooperatīvās sabiedrības), savukārt Komercreģistrā reģistrē komersantus. Attiecīgi lūdzam izvērtēt un, ja gala saņēmēji var būt cita starpā komersanti, -  atbilstoši papildināt noteikumu projekta 35. punktu (Ministru kabineta 2022. gada 13. septembra noteikumu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(turpmāk - noteikumi Nr. 577) 49.1.1. apakšpunktu) ar norādi uz attiecīgu reģistru, svītrojot šajā punktā norādi uz saimnieciskās darbības veikšanu, ņemot vērā, ka principā saimniecisko darbību var veikt arī citi Uzņēmumu reģistrā reģistrēti subjekti.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 uz gala labuma guvēju, izņemot šo noteikumu </w:t>
            </w:r>
            <w:r w:rsidR="00000000" w:rsidRPr="00000000" w:rsidDel="00000000">
              <w:rPr>
                <w:rtl w:val="0"/>
              </w:rPr>
              <w:t xml:space="preserve">49.1.3.</w:t>
            </w:r>
            <w:r w:rsidR="00000000" w:rsidRPr="00000000" w:rsidDel="00000000">
              <w:rPr>
                <w:rtl w:val="0"/>
              </w:rPr>
              <w:t xml:space="preserve"> apakšpunktu, nav attiecināmi šādi izslēgšanas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Ministru kabineta tiesību normām, kas paredz izslēgšanas kritērijus, tiesību akta projekta 23-TA-2246 ietvaros Tieslietu ministrija izteikusi iebildumus,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iekļaut personai noteikto ierobežojumu attaisnojamības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ņemt vērā, ka noteikumu projektā (Ministru kabineta noteikumos) nav pieļaujams noteikt ar administratīvo atbildību saistītus ierobežojumus privātpersonām, kā arī likumā esošais pilnvarojums nepiešķir Ministru kabinetam tiesības noteikt šādus atbalsta piešķiršanas nosacījumus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ņemt vērā, ka nepieciešams anotācijā skaidrot un nepieciešamības gadījumā precizēt noteikumu projektā ietverto subjektu uzskaitījumu, ņemot vērā, ka nav saprotama noteikumu projektā ietverto sodīto personu izvēle (gan pats komersants, gan ar to saistītas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73.3. Centrālā finanšu un līgumu aģentūra kā komercdarbības atbalsta sniedzējs Eiropas digitālās inovācijas centra koordinatoram nodrošina piekļuvi informācijai 10 gadus, sākot no dienas, kad Centrālā finanšu un līgumu aģentūra ir piešķīrusi pēdējo komercdarbības atbalstu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63. punktā norādīt uz inovācijas kopas koordinatoru, nevis Eiropas digitālās inovācijas centra koordinatoru, nodrošinot vienveidīgu terminoloģiju, vai lūdzam noteikumu projekta anotācijā sniegt atbilstošu skaidrojumu par noteikumu projektā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10.01.2024.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10.01.2024.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