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izstrādājot likumprojektu “Par vidēja termiņa budžeta ietvaru 2024., 2025. un 2026. gadam” un likumprojektu “Par valsts budžetu 2024. gadam”, noteikt, ka ne mazāk kā 0,3% no akcīzes nodokļa ieņēmumiem no alkohola tirdzniecības, tiek novirzīts atskurbināšanas pakalpojuma sniegšanas izdevumu segšanai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neatbalstām Ministru kabineta protokollēmuma 3.punktu un ziņojumā sniegto informāciju par akcīzes nodokļa ieņēmumiem kā finansējuma avotu atskurbšanas pakalpojuma pieejamības nodrošināšanai (plašāka argumentācija sniegta Finanšu ministrijas 20.04.2023. atzinumā).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02.05.2023.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02.05.2023.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