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administratīvais līgums par detālplānojuma īstenošanu, izņemot gadījumu, ja detālplānojumu izstrādā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tiek svītrots 44.5.punkts, kas paredzēja Administratīvo līgumu kā detālplānojuma sastāvdaļu, un piekrītot, ka Līgums ir atsevišķs dokuments, tai skaitā tiek parakstīts tikai pēc tam, kad detālplānojums ir jau apstiprināts, taču arī ņemot vērā faktu, ka līguma redakcija pēc būtības ir saskaņojama pirms detālplānojuma apstiprināšanas, uzskatām, ka ir svarīgi paredzēt būtiskos detālplānojuma īstenošanas nosacījumus, kas ir svarīgi risinājuma, kā vienota veseluma īstenošanas nodrošināšanai,  iekļaušanu apbūves noteikumu sastāvā kā detālplānojuma realizācijas kārtības noteikumus. Tādejādi šie būtiskie nosacījumi ir attiecīgi piemērojami turpmāk administratīvā līguma saturam, neparedzot iespējas tos grozīt, ja netiek grozīts detālplānojums kopumā, bet neliedzot grozīt līguma ietvaros tos noteikumus, kurus būtu pieļaujams mainīt īstenošanas gaitā, un kas rezultātā nemainītu apstiprinātā detālplānojuma risinājuma būtību (piemēram, termiņi, dalījums kārtās). Tas arī atbilst VARAM izstrādātajām Vadlīnijām par detālplānojumu īstenošanu, un veicinātu vadlīnijās konstatēto problēmu novēršanu, piemēram, jautājumos par īpašumu faktisko sadales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Grozījumu projekta 47.punktu ar 47.6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Detālplānojuma teritorijas izmantošanas un apbūves nosacījumos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detalizētus teritorijas izmantošanas nosacījumus (konkrētus izmantošanas veidus) un apbūves parametrus;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vides pieejamības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labiekārtojuma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47.4. prasības inženiertehniskajam nodrošinājumam;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47.5. ja nepieciešams, prasības arhitektoniskiem risinājumiem, ievērojot ainavu izvērtējumu un citas prasības atbilstoši darba uzdevumam.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(47.6. nosacījumus detālplānojuma īstenošanas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Ekonomikas ministrija 10 darbdienu laikā sniedz viedokli par teritorijas plānojuma vai tā grozījumu sastāvā esošajos teritorijas izmantošanas un apbūves noteikumos ietverto normu atbilstību būvniecību reglamentējošajiem normatīvajiem aktiem, bet ne vēlāk kā līdz šo noteikumu 88.1. apakšpunktā minētā lēmuma pieņemšanas dienai. Līdz galīgās redakcijas apstiprināšanai viedoklis ir izvērtējams un iekļaujams teritorijas plānojuma vai to grozījumu redakcijā. Ja pašvaldība nepiekrīt Ekonomikas ministrijas viedoklim, tā sniedz pamatojumu tā vērā neņemšanai, ko ietver šo noteikumu 86. punktā minētajā ziņojumā.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atkārtoti norāda, ka nav saprotams vai Ekanomikas ministrijas viedoklis ir jāpieprasa arī Lokālplānojumu izstrādes gadījumā, ja ar to tiek grozīts teritorijas plānojums. Kā arī nepiekrītam, ka viedoklis tie sniegts 10 darba dienās, bet ne vēlāk kā līdz šo noteikumu 88.1. apakšpunktā minētā lēmuma pieņemšanas dienai, jo no piedāvātās redakcijas nav saprotams, no kura brīža sākas 10 darbdienu termiņš un “ne vēlāk kā līdz domes lēmuma pieņemšanai” ir par vēlu, jo ziņojums tiek gatavots pirms virzīšanas izskatīšanai komitejās/domes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lai būtu saprotams kā rīkoties Lokālplānojuma gadījumā. Kā arī precizēt Ekanomikas, ministrijas viedokļa sniegšanas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Pašvaldība var noteikt lielāku teritoriju, kurai izstrādājams detālplānojums, lēmumā pamatojot tā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punkta svītrošanu. Ir gadījumi, kad detālplānojumā vajag iekļaut plašāku teritoriju, saskaņojot ar ierosinātāju un blakus esošo īpašumu īpašniekiem (ielas, ūdeņi, prettrokšņu barjeras u.c.). Norādām, ka arī no anotācijas nav saprotams punkta svītrošanas iemesls.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saglabāt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šī punkta svītrosanu, nav saprotams kā to aizstāj Grozījumu projekta 16.punkts, kas ir sadaļā kur tiek atrunāta Plānošanas dokumentu izstrāde, izmantojot sistēmu. Esošajos MK noteikumos Nr.628 šis punkts atrodoties sadaļā par Detālplānojuma izstrādes kārtību ar kuru tiek noteikts proces konkrētā plānošanas dokomenta izstrādei no tā uzsākšanas līdz īstenošanai, norādām uz to, ka šis ir vienīgais punkts, kas netieši norāda uz publiskās apspriešanas sanāksmes organizēšanu pie detālplānojuma izstrādes un tā izņemšana var radīt neskaidrības.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publiskajai apspriešani nododamā detālplānojuma projekta publicēšanas sistēmā izstrādes vadītājs sadarbībā ar izstrādātāju organizē publisko apspriešanu.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Pašvaldība nodrošina savlaicīgu informācijas par publisko apspriešanu lokālplānojuma vai detālplānojuma izziņošanu. Līdz ar publiskās apspriešanas uzsākšanas dienu tiek nodrošināta informatīvā stenda izvietošana publiskajā ārtelpā pēc iespējas tuvāk lokālplānojuma vai detālplānojuma teritorijai. Informatīvajam stendam jābūt vismaz A1 formātā, izturīgam pret apkārtējo vidi, kurā norāda kvadrātkodu (</w:t>
            </w:r>
            <w:r w:rsidR="00000000" w:rsidRPr="00000000" w:rsidDel="00000000">
              <w:rPr>
                <w:i w:val="1"/>
                <w:rtl w:val="0"/>
              </w:rPr>
              <w:t xml:space="preserve">Quick Response Code</w:t>
            </w:r>
            <w:r w:rsidR="00000000" w:rsidRPr="00000000" w:rsidDel="00000000">
              <w:rPr>
                <w:rtl w:val="0"/>
              </w:rPr>
              <w:t xml:space="preserve">), lokālplānojuma vai detālplānojuma izstrādes pamatojumu, mērķi un risinājumu īsu aprakstu, kā arī informāciju par būtiskākajām izmaiņām un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punktā minētā nav saprotams uz kurieni vedīs informatīvajā stendā attēlotais kvadrātkods, kā arī ne punktā ne anotācijā nav informācijas kurš veiks tā ģenerēšanu no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tādu pašu atsaucu kā anotācijā, ka informatīvajā stendā jāatēlo kvadrātkodu (Quick Response Code) ar saiti uz lokālplānojumu vai detālplānojumu sistēmā. Kā arī skaidrot par kvadrātkoda ģenerēšanu.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attiecīgā plānošanas dokumenta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pašvaldību speciālisti, kas strādā ar sistēmu, ir pauduši savas bažas par to vai nav iespējams plānošanas dokumentu publicēt sistēmā pirms pašvaldības lēmuma par bubliskās apspriešans uzsākšanu publicēšanas sistēmā. Gadījumā ja šāda iespēja pastāv tas var radīt būtiskas neskaidrības un pārpratumus.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atbilstoši plānošanas dokumenta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Vairākas pašvaldības ir norādījušas, ka vēlētos lai arī VARAM jau sākotnēji piedalītos teritorijas attīstības plānošanā, konsultējot, kā arī sniedz informāciju un atzinumu par attīstības plānošanas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Ierosīnām apsvērt iespēju VARAM sākotnēji piedalītos teritorijas attīstības plānošanā.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Pašvaldība vienojas ar lokālplānojuma vai detālplānojuma ierosinātāju par tā izstrādi, noslēdzot attiecīgu līgumu. Līgumā nosaka pušu tiesības, pienākumus un atbildību un to pievieno pašvaldības lēmumam par lokālplānojuma vai detālplānojuma izstrādes uzsākšanu.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dzēsts 135. punkts lūdzam papildināt anotāciju lai viennozīmīgi būtu saprotams, ka šajā līgumā var tikt iekļauta informācija par to, ka lokālplānojuma vai detālplānojuma ierosinātājam ir jāsedz izmaksas, kas saistītas ar planšetes, informatīvās tāfeles, kā arī paziņojumu nosūtīšanu pierobežniekiem.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w:t>
    </w:r>
    <w:r>
      <w:br/>
    </w:r>
    <w:r w:rsidR="00000000" w:rsidRPr="00000000" w:rsidDel="00000000">
      <w:rPr>
        <w:rtl w:val="0"/>
      </w:rPr>
      <w:t xml:space="preserve">Izdrukāts 30.10.2024.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w:t>
    </w:r>
    <w:r>
      <w:br/>
    </w:r>
    <w:r w:rsidR="00000000" w:rsidRPr="00000000" w:rsidDel="00000000">
      <w:rPr>
        <w:rtl w:val="0"/>
      </w:rPr>
      <w:t xml:space="preserve">Izdrukāts 30.10.2024.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Atzinumi_24-TA-162.docx</dc:title>
</cp:coreProperties>
</file>

<file path=docProps/custom.xml><?xml version="1.0" encoding="utf-8"?>
<Properties xmlns="http://schemas.openxmlformats.org/officeDocument/2006/custom-properties" xmlns:vt="http://schemas.openxmlformats.org/officeDocument/2006/docPropsVTypes"/>
</file>