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prioritāro virzienu.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Eiropas Savienības fondu 2021.-2027.gada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perioda vadības likuma 19.panta 2., 6. un 13.punktu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atsauci uz Eiropas Savienības fondu 2021.-2027.gada plānošanas perioda vadības likuma 19.panta 2.punkta deleģējumu, kas neattiecas uz šo noteikumu projektu, atbilstoši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viedās specializācijas ilgtermiņa stratēģija – dokuments, kurā attiecīgās nozares uzņēmumi, nevalstiskās organizācijas un zinātnieki (Viedās specializācijas stratēģijas (turpmāk - RIS3)  jomas vadības grupa) nosaka, apstiprina un koordinē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 Šī stratēģija ietver analīzi par nozares līmeņa tirgus un tehnoloģiskajām iespējām un to attīstības potenciālu, pašreizējo tautsaimniecības līmeni un nepieciešamajām darbībām tautsaimniecības attīstībai, iekļaujot sevī darbības, kas ir sasniedzamas saprātīgā laikā un ar pieejamajiem resursiem, piemērotas un atbilstošas pašreizējai situācijai, ilgtspējīgas un ar izmērāmu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neizraisītu liekas interpretācijas iespējas, lūdzam šajā punktā un visā MKN projektā un anotācijā precizēt terminu no "viedās specializācijas ilgtermiņa stratēģija" uz "viedās specializācijas jomas ilgtermiņa stratēģija " (t.sk. 2.3., 2.5., 20.4., 23.2., 25.2.2.apakšpunkts). Attiecīgus precizējumus lūdzam veikt arī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inovāciju un pētniecības pārvaldības padome (turpmāk - IPPP) – izveidota institucionāla pārvaldības platforma, atbalsta programmu koordinācijai, RIS3 un inovāciju stratēģiskai vadībai, kas apvieno Ekonomikas ministriju (turpmāk – EM) un Izglītības un zinātnes ministriju (turpmāk – IZM) sadarbības veicināšanai;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punktā iekļautais apgalvojums par IPPP sastāvu neatbilst Informatīvajā ziņojumā "Par Latvijas inovāciju un tehnoloģiju atbalsta fonda iniciatīvas aktualitātes pārskatīšanu" (turpmāk- LITAF ziņojums; apstiprināts MK 12.04.2022. sēdē, protokols Nr. 20, 40.§ ), kas nosaka pasākumus inovāciju un pētniecības institucionālā modeļa un Latvijas Viedās specializācijas stratēģijas (RIS3) pārvaldības modeļa pilnveidošanai ar 2022. gadu. LITAF ziņojumā noteikts, ka IPPP sastāvā ietilpst ne tikai EM un IZM ministri, kas ir padomes līdzpriekšsēdētāji, bet arī LIAA un LZP direktori.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mērķis ir pilnvērtīgas RIS3 pārvaldības sistēmas turpināšana , stiprinot viedās specializācijas jomas analītikas kapacitāti, kā arī īstenojot atbalsta pasākumus augstākai produktu un ieņēmumu zināšanu ietilpības veidošanai un produktu un tehnoloģiju eksporta palielināšanai.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pasākuma 1.kārtas mērķa formulējuma daļa </w:t>
            </w:r>
            <w:r w:rsidR="00000000" w:rsidRPr="00000000" w:rsidDel="00000000">
              <w:rPr>
                <w:i w:val="1"/>
                <w:rtl w:val="0"/>
              </w:rPr>
              <w:t xml:space="preserve">par atbalsta pasākumus īstenošanu augstākai produktu un ieņēmumu zināšanu ietilpības veidošanai un produktu un tehnoloģiju eksporta palielināšanai </w:t>
            </w:r>
            <w:r w:rsidR="00000000" w:rsidRPr="00000000" w:rsidDel="00000000">
              <w:rPr>
                <w:rtl w:val="0"/>
              </w:rPr>
              <w:t xml:space="preserve">īsti neatspoguļo pasākuma ietvaros plānoto atbalstu, piemēram, atbalsts ekosistēmu attīstības koordinēšanai, atbalsts komersantiem starptautiskās sadarbības un atpazīstamības nodrošināšanai caur interešu pārstāvniecību, kā arī atbalsts projektu iesniedzējiem projektu iesniegumu izstrādei HE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īsteno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7.punktu izteikt šādā redakcijā "Finansējuma saņēmējs projektu īstenošanu plāno saskaņā ar vienošanos par projekta īstenošanu, kas noslēgta starp finansējuma saņēmēju un sadarbības iestādi, bet ne ilgāk kā līdz 2029. gada 31. 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Pasākuma ietvaros sasniedzamais iznākuma rādītājs: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EM sniegto informāciju rādītāju excel, kā Programmas rādītāji sadalās pa pasākumiem un to kārtām, uz pasākuma 1.kārtu nav attiecināms neviens no Programmas rādītājiem. Lūgums iesūtīt precizēto rādītāju tabulu, ja uz šo kārtu tiek attiecināti arī programmas rādītāji. Ja šeit nav domāti Programmas rādītāji, tad lūgums tos nedefinēt kā iznākuma vai rezultāta rādītājus, kā tas ir noteikts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līdz 2029.gada 31.decembrim publicēts uzraudzības ziņojums, kurā sniegta informācija par katru RIS3 jomu, inovācijas pārvaldības modeļa darbību un ilgtermiņa 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kas ir saprotams ar šo uzraudzības ziņojumu, ja RIS3 monitoringa ziņojumi atbilstoši KP programmā noteiktajam 2021-2027 ir jāizstrādā katru otro gadu. Vai ar to ir saprotams ziņojums, kas atrunāts  MKN projekta 25.7.3.apakšpunktā (RIS3 pārvaldības modeļa izvērtējums ar priekšlikumiem tā pilnveidei). Lūdzam atbilstoši precizēt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līdz 2029.gada 31.decembrim publicēts uzraudzības ziņojums, kurā sniegta informācija par katru RIS3 jomu, inovācijas pārvaldības modeļa darbību un ilgtermiņa finansēšanu.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1.2.1. SAM rādītāju metodoloģijas aprakstam, šāds iznākuma rādītājs pasākumā nav paredzēts. Lūdzam dzēst šo apakšpunktu vai noteikt kā nacionālo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8 235 295 euro (tai skaitā elastības finansējuma apjoms 1 298 914 euro), tai skaitā ERAF finansējums 7 000 000 euro (tai skaitā elastības finansējuma apjoms 1 104 077 euro) un valsts budžeta līdzfinansējums 1 235 295 euro (tai skaitā elastības finansējuma apjoms 194 837 euro). Maksimālais ERAF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VB elastības finansējuma apmēru atbilstoši DPP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Pasākumam pieejamais kopējais finansējums, kas minēts šo noteikumu 11. punktā, sadalās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pieejamo finansējumu atbilstoši DPP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Atbildīgai iestādei pieejamais finansējums ir 1 215 093 euro, tai skaitā Eiropas Reģionālās attīstības fonda finansējums 1 032 828 euro un valsts budžeta līdzfinansējums 182 265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12.1. un 12.2.apakšpunktu, konkrēti norādot uz Ekonomikas ministriju kā finansējuma saņēmēju un Latvijas Investīciju un attīstības aģentūru kā finansējuma saņēmēju, lai nodrošinātu atbilstošu funkciju nodalīšanu. Papildus lūdzam atbilstoši precizēt skaidrojumu anotācijas 1.3. 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EM nodrošina RIS3 pārvaldību operacionālajā  līmenī, priekšlikumu sagatavošanai, analītikas un monitoringa procesu uzņēmējdarbības sektoram RIS3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pareizi saprotam, ka gan LIAA, gan EM nodrošina RIS3 jomu analītiku (MKN projekta 14.punkts un MKN projekta 23.3.punkts). Lūdzam atbilstoši LITAF ziņojumā noteiktajam, MKN precīzi atrunā darbības un nodalīt atbildību gan no LIAA puses kā RIS3 vadības grupu koordinatoriem, gan EM kā par kopējo RIS3 monitoringu galvenajam atbildīgajam.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EM nodrošina RIS3 pārvaldību operacionālajā  līmenī, priekšlikumu sagatavošanai, analītikas un monitoringa procesu uzņēmējdarbības sektoram RIS3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papildināt MKN projektu ar jaunu punktu aiz 14.punkta, nosakot ko pasākuma ietvaros nodrošina LIAA, t.sk. koordinē RIS3 jomu vadības grupu darbu - aktīvs darbs ar vērtību ķēdēm un ekosistēmām, kā arī individuāla atbalsta sniegšanu to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Pasākuma ietvaros EM nodrošina RIS3 pārvaldību operacionālajā  līmenī, priekšlikumu sagatavošanai, analītikas un monitoringa procesu uzņēmējdarbības sektoram RIS3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punkta redakcija nonāk pretrunā ar LITAF ziņojumā noteikto, ka "</w:t>
            </w:r>
            <w:r w:rsidR="00000000" w:rsidRPr="00000000" w:rsidDel="00000000">
              <w:rPr>
                <w:i w:val="1"/>
                <w:rtl w:val="0"/>
              </w:rPr>
              <w:t xml:space="preserve">RIS3 jomu vadības grupas ir P&amp;A&amp;I pārvaldības operacionālais līmenis. RIS3 vadības grupu darbu, RIS3 vērtību ķēžu ekosistēmu pārvaldības un attīstības ietvaros koordinē LIAA". </w:t>
            </w:r>
            <w:r w:rsidR="00000000" w:rsidRPr="00000000" w:rsidDel="00000000">
              <w:rPr>
                <w:rtl w:val="0"/>
              </w:rPr>
              <w:t xml:space="preserve">Lūdzam atbilstoši precizēt punkta redakciju, svītrojot vārdus "</w:t>
            </w:r>
            <w:r w:rsidR="00000000" w:rsidRPr="00000000" w:rsidDel="00000000">
              <w:rPr>
                <w:i w:val="1"/>
                <w:rtl w:val="0"/>
              </w:rPr>
              <w:t xml:space="preserve">RIS3 pārvaldību operacionālajā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iesniedzēji tiek atlasīti slēgtas kārtas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punktu, ņemot vērā, ka noteikumu projekta noteikumu projekta 10. punkts paredz, ka pasākumu īsteno ierobežotas projektu iesniegumu atlases veidā, turklāt atbilstoši normatīvajos aktos lietotajai terminoloģijai tiek organizēta ierobežota iesniegumu atlase.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noteikumos noteikt projekta iesniegumam obligāti pievienojamos pielikumus/dokumentus, tai skaitā procedūru, kā tiks nodrošināta </w:t>
            </w:r>
            <w:r w:rsidR="00000000" w:rsidRPr="00000000" w:rsidDel="00000000">
              <w:rPr>
                <w:i w:val="1"/>
                <w:rtl w:val="0"/>
              </w:rPr>
              <w:t xml:space="preserve">de minimis</w:t>
            </w:r>
            <w:r w:rsidR="00000000" w:rsidRPr="00000000" w:rsidDel="00000000">
              <w:rPr>
                <w:rtl w:val="0"/>
              </w:rPr>
              <w:t xml:space="preserve"> atbalsta sniegšana gala labuma guvējiem.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vismaz divi pētniecības un zināšanu izplatīšanas organizāciju pārstāvji (RIS3 jomas akadēmiskais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19.2.punkta redakcijas nav skaidrs, kas ir uzskatāms par RIS3 jomas akadēmisko vadītāju, vai visi pārstāvji kopā?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vismaz pieci nozares asociāciju  eksperti RIS3 jomās, piemēram, nozares asociācijas, klastera vai kompetences centra pārstāvis (RIS3 jomas vadītājs);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19.3.punkta redakcijas nav skaidrs, kas ir uzskatāms par RIS3 jomas vadītāju, vai visi uzskaitītie eksperti? Lūdzam redakcionāli precizēt, lai ir nepārprotami skaidrs.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RIS3 jomas vadības grupai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uzmanību,ka LITAF ziņojumā RIS3 vadības grupai tiek noteikti nedaudz plašāks pienākumu tvērums, 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mediatora funkciju starp RIS3 vērtību ķēžu ekosistēmās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RIS3 vērtību ķēžu ekosistēmu pārvaldību un jaunu ekosistēmu identificēšanu (ekosistēmu stratēģiju izstrāde, ikgadējo rīcības plānu izstrāde/ atjaunošana (katrā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informāciju par P&amp;A&amp;I un augstākās izglītības programmām un to rezultātiem konkrētajā RIS3 VG;</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citu nozaru ministriju iesaisti atbilstoši to kompetences jomām (Veselības ministrija, VARAM, Zemkopības ministrija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-veicināt RIS3 vērtības ķēžu ekosistēmu internacionalizāciju;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 uzņēmējdarbības atklājuma procesu un identificē izaicinājumus, iespējas un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MKN punktu attiecībā uz augstākminēto pienākumu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RIS3 jomu ilgtermiņa stratēģiju ne tikai izstrādi, bet pastāvīgu pilnveidošanu un īstenošanu, inovāciju pārvaldes modelī nepieciešams nodrošināt aktīvu nozares asociāciju ekspertīzi. Attiecīgi plānots, ka līdz ar pasākuma ieviešanu RIS3 jomās vadības grupu (inovācijas klasteri) esošās nozares asociācijas ekspertus LIAA veic slēgto atlasi un slēdz vienošanos par noteiktu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šis pasākums ir ANM  </w:t>
            </w:r>
            <w:r w:rsidR="00000000" w:rsidRPr="00000000" w:rsidDel="00000000">
              <w:rPr>
                <w:rtl w:val="0"/>
              </w:rPr>
              <w:t xml:space="preserve">5.1.1.1.i. investīcijas turpinājums,  un RIS3 jomu ilgtermiņa stratēģijas uz pasākuma 1.kārtas īstenošanas uzsākšanas brīdi būs izstrādātas un saskaņotas, lūdzam svītrot vārdus "ne tikai izstrādi".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vadīt un mainīt RIS3 jomas vadības grupas katrā no RIS3 jomām.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RIS vadības grupu vadīšanai tiks slēgts līgums starp LIAA un nozares ekspertu, aicinām izvērtēt iespējas paredzēt LIAA kārtību, kādā maināmas RIS3 vadības grupas, neatstājot to par vienpersonisku nozares eksperta lēmumu. Attiecīgi papildinot punkta redakciju, ka mainīt "atbilstoši iekšējai kārtībai".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sadarbībā ar RIS3 vadības grupu, koordinēt RIS3 specializācijas jomas ilgtermiņa stratēģijas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anotācijā minēto, ka šis pasākums  ir Latvijas ANM plāna 5.1. reformu un investīciju virziena “Produktivitātes paaugstināšana caur investīciju apjoma palielināšanu P&amp;A” 5.1.1.r. reformas “Inovāciju pārvaldība un privāto P&amp;A investīciju motivācija” 5.1.1.1.i. investīcijas  “Pilnvērtīga inovāciju sistēmas pārvaldības modeļa izstrāde un tā nepārtraukta darbināšana” (turpmāk - 5.1.1.1.i.investīcija) ietvaros atbalstāmo RIS3 vērtības ķēžu (inovācijas klasteri) darbības pilnveide, lūdzam izvērtēt šī punkta nepieciešamību,  ņemto vērā to, ka uz pasākuma īstenošanas uzsākšanas brīdi (pēc augstāk minētās ANM investīcijas īstenošanas beigām) RIS 3 jomas  stratēģijas izstrāde vairāk nebūs jāveic, ņemot vērā to, ka ilgtermiņa stratēģija jau būs izstrādāta un apstiprināta ANM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 nodrošināt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pasākuma atskaites punktu un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jo noteikumu projekta 9. punktā ir norādīti pasākuma kopējie sasniedzamie rādītāji, pie tam Finansējuma saņēmējam nevar būt pienākums nodrošināt pasākuma kopējo rādītāju sasniegšanu, bet tikai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bezmaksas konsultāciju sniegšanu par projektu pieteikumu sagatavošanu tādās programmās kā Apvārsnis Eiropa, Digitālā Eiropa, CERN, EKA u.c., kā arī programmās piemēroto projektu atlasi un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23.1. apakšpunkts ietver nosacījumu, ka LIAA neveic atbalstāmās darbības uzņēmumu interesēs, atbalsts kurām kvalificējas kā komercdarbības atbalsts. Skaidrojam, ka, ja atbalsts tiek sniegts uzņēmuma saimnieciskai darbībai, jo LIAA piedāvā tādu pakalpojumu, kas pieejams tirgū (konsultāciju sniegšana par pieteikuma sagatavošanu), tad tas kvalificējams kā komercdarbības atbalsta uzņēmumam. Lūdzam skaidrot anotācijā, kādēļ šo noteikumu 24.2.punktā iekļautā aktivitāte nav kvalificējama kā atbalsts uzņēmumam un nepieciešamības gadījumā lūdzam precizēt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sadarbības kontaktu identificēšanu, bezmaksas pakalpojumus kontaktu atlasei tālajos un grūti sasniedzamajos tirgos Latvijas komersantiem, citu informatīvais atbalstu ar mērķi palīdzēt komersantiem iekļūt tālajos un grūti sasniedzamajos tirgos.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ir 1.2.3.1. pasākuma (MVU atbalsts) atbalstāmā darbība (atbalsts caur ārvalstu pārstāvniecībām). Lūdzam nedublēt, nodrošinot demarkāciju starp atbalsta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sadarbības kontaktu identificēšanu, bezmaksas pakalpojumus kontaktu atlasei tālajos un grūti sasniedzamajos tirgos Latvijas komersantiem, citu informatīvais atbalstu ar mērķi palīdzēt komersantiem iekļūt tālajos un grūti sasniedzamajos tirgos.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24.2.punkta un skaidrot anotācijā, kādēļ šo noteikumu 24.3.punktā iekļautā aktivitāte nav kvalificējama kā komercdarbības atbalsts un nepieciešamības gadījumā lūdzam precizēt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Atbildīgās iestādes ir šādi pienākumi kā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25. punkta ievaddaļu, to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Finansējuma saņēmējam ir šādi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Atbildīgās iestādes ir šādi pienākumi kā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jaunu apakšpunktu, nosakot par pienākumu EM RIS3 jomu monitoringa datu validēšanu, atsaucoties uz 20.09.2023.sanāksmē ar CFLA un VI pārrunāto, ka EM ir galvenais atbildīgais par RIS3 monitoringa procesu un monitoringa datiem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RIS3 datu validēšana attiecas uz LIAA datu apkopojumu un kopējo rādītāju rezultātu validēšanu, kas tiek ievadīti KPVIS).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analītikas un monitoringa sistēmas izveide uzņēmējdarbības sektoram RIS3 specializācijas jomās, iekļaujot: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svītrot vārdu "izveide" un aizstāt to ar "pilnveide", ņemot vērā EM 2014-2020.gada perioda iestrādnes RIS3 datu analīzes un monitoringa sistēmas izveidē uzņēmējdarbības sektoram, kā arī iestrādnes ANM 5.1.1.1.i.investīcijas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25.1.2. pastāvīga RIS3 specializācijas jomu analītikas procesa nodrošināšana un monitoringa ziņojumu sagatavošana;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netiks dublētas darbības ar LIAA, kas atbilstoši MKN 23.3.punktam nodrošinās RIS3 jomu datu analīzi.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nodrošināt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pasākuma atskaites punktu un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Atskaites punkti un mērķi neattiecas uz šo MKN projektu, lūdzam attiecīgi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 nodrošināt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noteikto pasākuma atskaites punktu un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jo noteikumu projekta 9. punktā ir norādīti pasākuma kopējie sasniedzamie rādītāji, pie tam Finansējuma saņēmējam nevar būt pienākums nodrošināt pasākuma kopējo rādītāju sasniegšanu, bet tikai projektā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25.7.3. līdz 2029. gadā veiks ieviestā RIS3 pārvaldības modeļa (pasākuma ietvaros īstenoto aktivitāšu) sākotnējo izvērtējumu un tā pilnveidi.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skaidrot, kāpēc plānots RIS3 pārvaldības modeļa </w:t>
            </w:r>
            <w:r w:rsidR="00000000" w:rsidRPr="00000000" w:rsidDel="00000000">
              <w:rPr>
                <w:u w:val="single"/>
                <w:rtl w:val="0"/>
              </w:rPr>
              <w:t xml:space="preserve">sākotnējais</w:t>
            </w:r>
            <w:r w:rsidR="00000000" w:rsidRPr="00000000" w:rsidDel="00000000">
              <w:rPr>
                <w:rtl w:val="0"/>
              </w:rPr>
              <w:t xml:space="preserve"> izvērtējums. Tāpat ņemot vērā, ka nacionālais P&amp;A&amp;I pārvaldības modelis (LITAF ziņojums) nosaka, ka stratēģisku jautājumu risināšana ir IPPP , nevis EM kompetence, aicinām izteikt 25.7.3.apakšpunktu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2029. gadā veiks ieviestā RIS3 pārvaldības modeļa (pasākuma ietvaros īstenoto aktivitāšu)  izvērtējumu un tā pilnveides priekšlikumu izstrādi, un iesniegs izvērtēšanai IPPP</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noslēgt vienošanos ar LIAA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26.4.apakšpunktu, jo vienošanos par projekta īstenošanu ar finansējuma saņēmēju (LIAA) atbilstoši Eiropas Savienības fondu 2021.—2027. gada plānošanas perioda vadības likumam slēdz sadarbības iestāde, nevis atbildīgā iestāde.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IPPP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LITAF ziņojumā ir plašāk aprakstīti IPPP galvenie uzdevumi,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jomu snieguma, t.sk. mērķu un rezultātu sasniegšanas koordinēšana un priekšlikumu sagatavošana snieguma uzlabošanai (ESIF atbalsta programmu stimuli)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monitoringa procesa un rezultātu koordinēšana un priekšlikumi monitoringa sistēmas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-RIS3 vadības grupu darba novērtēšana, t.sk. uzņēmējdarbības atklājuma procesa (EDP) kopējie rezultāti, vērtību ķēžu ekosistēmu attīstības uzraudzība un priekšlikumu sagatavošana pilnveidojumiem.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P&amp;AI politikas izstrādes un īstenošanas institucionālās pārvaldības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un LZP stratēģiju un darbības plānu koordinēšana (stratēģija, virsuzdevumi, rīcības plāns, sasniedzamie rezultāti, programmu un darbības virzieni, rezultātu 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-P&amp;A&amp;I un zinātnes atbalsta programmu vispārējais dizains un saturs, finansējuma apropriāciju sadalījums starp programmām un administrēšanas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un LZP sadarbība ES līmeņa un citu starptautisko programmu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IZM, LIAA, LZP darba koordinācija (saskaņotas rīcības, sinerģija starp atbalsta programmām un projektiem, citām aktivitātēm, pasākumu papildinātība)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-Stratēģiskās investīcijas un lielie P&amp;A&amp;I projekti – liela mēroga projektu finansēšanas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papildināt MKN punktu attiecībā uz augstākminēto pienākumu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 un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EM un LIAA atbalstāmās darbības atbilstoši plānotajām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 Latvijas ārējo ekonomisko pārstāvniecību konsultāciju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šo apakšpunktu, ņemot vēra, ka šī ir 1.2.3.1. pasākuma (MVU atbalsts) atbalstāmā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LIAA 1.2.1.1.pasākuma ietvaros sniedz atbalstu komersantiem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konkretizēt punkta redakciju, pretēja gadījumā no tik vispārīga formulējuma nav skaidrs darbību tvērums, piemēram, kādu projektu iesniegumu izstrādei ir paredzēts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LIAA 1.2.1.1.pasākuma ietvaros sniedz atbalstu komersantiem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pamatot šāda atbalsta nepieciešamību, ņemot vērā to, ka tuvākajā laikā plānots līdzīgs atbalsts Atveseļošanas fonda ietvaros IPCEI (starptautiski Eiropas kopējo interešu projekti ar nozīmīgu ieguldījumu Eiropas Savienības rūpniecības un ekonomikas izaugsmē, nodarbinātībā un konkurētspējā) un sadarbības tīklu (plānots finansējums sadarbības tīklu dalībnieku internacionalizācijai un privāto pētniecības un attīstības investīciju apjoma palielināšanai) programmas ietvaros (5.1.1.2.i. 3., 4. kārta). Lūdzam skaidrot, kā atšķiras minēto AF investīciju programmu atbalstāmās darbības no šajā pasākumā plānotās - atbalsts starptautiskās sadarbības un atpazīstamības nodrošināšanai un projektu iesniegumu izstrādei. Tāpat nav skaidrs, kāds tieši finansējuma apmērs ir paredzēts komersantiem šī pasākuma ietvaros un, vai šis atbalsts saskan ar šīs kārtas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LIAA 1.2.1.1.pasākuma ietvaros sniedz atbalstu komersantiem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MK noteikumu 29.punktu, lai skaidri būtu identificējams, vai atbalsts komersantiem starptautiskās sadarbības un atpazīstamības nodrošināšanai, tai skaitā atbalsts projektu iesniedzējiem projektu iesniegumu izstrādei, ir pasākuma atbalstāmā darbība, kas attiecināma tikai uz LIAA kā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Izmaksu attiecināmība sākas no projekta iesnieguma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30. punktu, ņemot vērā, ka noteikumu projekta 38. punkts paredz, ka finansējuma saņēmējam projekta izmaksas ir attiecināmas, ja tās atbilst šajos noteikumos minētajām izmaksu pozīcijām un ir radušās no dienas, kad noslēgts līgums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Izmaksu attiecināmība sākas no projekta iesnieguma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AF 5.1.1.1.i. investīcijas informatīvajā ziņojumā noteikto, ka demarkācija ar Programmas 1.2.1.1. pasākumu tiks nodrošināta laikā, EM ir jāprecizē izdevumu attiecināmības sākuma datums, lai tas būtu pēc AF īstenošanas - pēc 2026.gada 30.jūnija.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MKN projektā noteikts, ka projektu izmaksas ir attiecināms pirms līguma vai vienošanās noslēgšanas, tad anotācijā jāsniedz pamatojums, kas nosaka finanšu plūsmas pirms projekta apstiprināšanas nodrošināšanas nosacījumus, kā arī atbildīgās iestādes pienākumus un atbildību gadījumos, ja pirms projekta apstiprināšanas radušās izmaksas, kas nav attiecināmas no ES fondu līdzekļiem. Tāpat lūdzam papildināt, ka nav attiecināmas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Ekonomikas ministrijas tiešās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punkta ievaddaļu, ņemot vērā, ka ir attiecināmas nevis Ekonomikas ministrijas, bet finansējuma saņēmēju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Pasākuma ietvaros Ekonomikas ministrijas tiešās attiecināmās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projektu, nosakot, kādi vienkāršoto izmaksu veidi tiks piemēroti kurām izmaksu pozīcijām. Vēršam uzmanību, ka vienām un tām pašām izmaksu pozīcijām nevar piemērot dažādus vienkāršoto izmaksu veidus/ nosacījumus, t.sk. dažādas likmes.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transporta izmaksām (degvielas izmaksas vieglajam transportlīdzeklim un reģionālā sabiedriskā un vietējā sabiedriskā transporta izmaksas) norādīt, ka šīs izmaksas tiks segtas atbilstoši vadošās iestādes izstrādātās horizontālās metodikai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uz MK noteikumu 32.2., 32.3. un 32.12.8.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definētās attiecināmas izmaksas, iespējams atsevišķi izdalot komandējumu izmaksas un transporta izmaksas. Vienlaikus, definējot komandējuma izmaksas, noteikt, kādas izmaksas ir attiecināmās - tikai iekšzemes vai arī ārvalstu komandējumi, tikai ar transportu saistītās izmaksas vai arī dienas naudas un naktsmītnes izmaksas. Papildus lūdzam skaidri norādīt, kurām attiecināmajām izmaksām ir piemērojama vadošās iestādes un atbildīgās iestādes vienkāršoto izmaksu metodikas, identificējot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ārpakalpojuma izmaksas projekta vadībā un īstenošanā iesaistītā personāla kvalifikācijas celšanai un sadarbības tīklu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par sadarbības tīklu veidošanu, jo tas nav šīs kārtas ietvars.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ārējo ekspertu piesaistes izmaksas, ja nepieciešams sniegt vērtējumu pētniecības un inovācijas 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izmaksas nav uzskatāmas par projekta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ārējo ekspertu piesaistes izmaksas, ja nepieciešams sniegt vērtējumu pētniecības un inovācijas 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norādi, kādu atbalstāmo darbību ietvaros attiecināmas ārējo ekspertu piesaistes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 pakalpojumu (uzņēmuma līgumu) izmaksas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pakalpojuma izmaksas, norādot konkrētu MK noteikumu punktu, par kuru atbalstāmo darbību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jaunradītu darba vietu aprīkojuma, biroja mēbeļu un tehnikas, datorprogrammu un licenču iegādes vai nomas izmaksas, aprīkojuma uzturēšanas.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33.punktu jāņem vērā darbinieka iesaistes periods projektā pret projekta kopējo īstenošanas ilgumu un daļlaika proporcija darbam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vietas aprīkojuma (biroja mēbeles un tehnika, datorprogrammas un licences, izņemot telpu nomu) iegādes vai nomas izmaksas, tai skaitā aprīkojuma uzturēšanas un remonta izmaksas, attiecināmas ne vairāk kā 3000 euro apmērā vienai darba vietai visā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jaunradītu darba vietu aprīkojuma, biroja mēbeļu un tehnikas, datorprogrammu un licenču iegādes vai nomas izmaksas, aprīkojuma uzturēšanas;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33.punktu jāņem vērā darbinieka iesaistes periods projektā pret projekta kopējo īstenošanas ilgumu un daļlaika proporcija darbam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vietas aprīkojuma (biroja mēbeles un tehnika, datorprogrammas un licences, izņemot telpu nomu) iegādes vai nomas izmaksas, tai skaitā aprīkojuma uzturēšanas un remonta izmaksas, attiecināmas ne vairāk kā 3000 euro apmērā vienai darba vietai visā projekta īstenošanas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precizēt MK noteikumu attiecīgo apakšpunktu, kā arī 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komandējumu un darba braucienu izmaksas.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norādīt, ka iekšzemes komandējuma izmaksas tiks segtas atbilstoši vadošās iestādes izstrādātās horizontālās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uz MK noteikumu 32.3. un 32.12.5.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komandējumu un darba braucienu izmaksas.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MK noteikumu 31.2.apakšpunkta.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ekspertu piesaistes izmaksas, tulkošanas izmaksas un citas izmaksas, kuras saistītas ar RIS3 specializācijas jomu ilgtermiņa stratēģiju un rīcības plānu izstrādi, pārvaldības sistēmas pilnveidi, tai skaitā stratēģiju efektivitātes novērtēšanu ja nepieciešams, ko attiecināt var tikai šo noteikumu 28.5. apakšpunkta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izmaksas nav uzskatāmas par projekta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vai skaidrot anotācijā, kādu atbalstāmo darbību īstenošanai attiecināmas apdrošināšanas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ārpakalpojumu izmaksas mārketinga aktivitātēm;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 atbalstāmo darbību ietvaros attiecināmas ārpakalpojumu izmaksas mārketinga aktivitātēm.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32.10. ārējo ekspertu piesaistes izmaksas, kas iesaistīti atbilstoši šo noteikumu 20.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šīs izmaksas nav uzskatāmas par projekta īstenošanas personāla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32.11. programmas “Apvārsnis Eiropa” un citu starptautisko pētniecības un attīstības sadarbības iniciatīvu ietvaros, virs kvalitātes sliekšņa novērtētu, bet finansējumu nesaņēmušu projektu, atvērtajos projektu konkursos iesniegto un atbalstīto ar saimniecisku darbību saistīto projektu konkrēta uzņēmuma pieteikuma sagatavošanas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skaidrs, kāda būs ieviešanas shēma atbalsta piešķiršanai komersantiem - kā notiek pieteikumu iesniegšana, kas vērtē un piešķir atbalstu utml. Papildus lūdzam skaidrot, vai šo var uzskatīt par daudzpakāpju projektu gadījumu.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 šo noteikumu </w:t>
            </w:r>
            <w:r w:rsidR="00000000" w:rsidRPr="00000000" w:rsidDel="00000000">
              <w:rPr>
                <w:rtl w:val="0"/>
              </w:rPr>
              <w:t xml:space="preserve">28. </w:t>
            </w:r>
            <w:r w:rsidR="00000000" w:rsidRPr="00000000" w:rsidDel="00000000">
              <w:rPr>
                <w:rtl w:val="0"/>
              </w:rPr>
              <w:t xml:space="preserve">punkta</w:t>
            </w:r>
            <w:r w:rsidR="00000000" w:rsidRPr="00000000" w:rsidDel="00000000">
              <w:rPr>
                <w:rtl w:val="0"/>
              </w:rPr>
              <w:t xml:space="preserve"> minēto darbību īstenošanai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32.punkta apakšpunktus, nodrošinot uzskaitīto izmaksu nedublēšanos, kā arī skaidru izmaksu attiecināmību pret atbalstāmajām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32.12.1. darba samaksa, tai skaitā valsts sociālās apdrošināšanas obligātās iemaksas,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ar ko atšķiras 32.12.1., 32.12.2., 32.12.3 un 32.12.4. izmaksu kopums no 32.6. apakšpunktā minētajām personāla izmaksām, kas tiks attiecinātas piemērojot vienkāršoto izmaksu metodiku. Vēršam uzmanību, ka vienādu izmaksu segšanā jānodrošina vienāda pieeja. Lūdzam to ņemt vērā arī pārējā MK noteikumu projektā, t.sk. par citām izmaksām.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32.12.2. pabalsti un kompensācijas;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identificēt kādi pabalsti un kompensācijas ir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32.12.3.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kādu atbalstāmo darbību ietvaros attiecināmas dzīvības un īpašuma apdrošināšanas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32.12.3.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MK noteikumu 32.5.apakšpunkta.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32.12.5. komandējumu un darba braucienu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iebildumu pie MK noteikumu 31.2.apakšpunkta.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pasākuma īstenošanā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attiecināmajām izmaksām piemēro vadošās un atbildīgās iestādes sagatavotās 2021.–2027. gada plānošanas perioda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iespēju robežās norādīt kādām izmaksu pozīcijām ir piemērojamas vadošās iestādes un atbildīgās iestādes vienkāršoto izmaksu metodikas, identificējot metodikas.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atbalstāmo darbību ietvaros ir attiecināms pievienotās vērtības nodoklis tiešajām attiecināmajām izmaksām atbilstoši Eiropas Parlamenta un Padomes 2021. gada 24. jūnija Regulas (ES) 2021/1060 (turpmāk - Regula (ES)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PVN attiecināmības nosacījumus FS un komersantiem. Vēršam uzmanību, ka PVN izmaksas nav attiecināmas projektiem, kuri ir virs 5 milj. EUR. Gadījumos, kad PVN izmaksas nav attiecināmas, MKN projektā ir jānorāda, no kāda finansējuma avota tās tiks segtas.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saņēmējam projekta izmaksas ir attiecināmas, ja tās atbilst šajos noteikumos minētajām izmaksu pozīcijām un ir radušās no dienas, kad noslēgts līgums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pasākuma ietvaros par projekta īstenošanu tiek slēgta vienošanās par projekta īstenošanu, nevis līgums. Lūdzam veikt atbilstošus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saņēmējam projekta izmaksas ir attiecināmas, ja tās atbilst šajos noteikumos minētajām izmaksu pozīcijām un ir radušās no dienas, kad noslēgts līgums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30.noteikts, ka izmaksu attiecināmība sākas no projekta iesnieguma iesniegšanas dienas Vadības informācijas sistēmā, MK noteikumu 30. un 38. punkts ir pretrunīgi. Lūdzam veikt atbilstošus precizējumus, nosakot korektu izmaksu attiecināmības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Izdevumus iespējams attiecināt līdz 2029.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nosakot, ka projekts īstenojams līdz 2029.gada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Finansējuma saņēmējam pieejamā maksimālā avansa un starpposma maksājuma kopsumma nepārsniedz 100 procentus no projektam piešķirtā ERAF finansējuma un valsts budžeta līdzfinansējuma kopsummas.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finansējuma saņēmējs ir valsts pārvaldes iestādes, tām avansa maksājumi netiek plānoti, jo tām ir iespējams saņemt priekšfinansējumu pieprasot to no valsts budžeta. Lūdzam svītrot 43. un 44. punktu un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nodrošina informācijas un publicitātes pasākumus saskaņā ar Regulas (ES) 2021/1060 47. un 50.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normatīvajos aktos un praksē  lietoto terminoloģiju, lūdzam 28.4., 31.6. un 45.2.apakšpunktā aizstāt vārdus "informācijas un publicitātes pasākumi" (attiecīgā locījumā) ar vārdiem  "komunikācijas un vizuālās identitātes prasību nodrošināšanas pasākumi” (attiecīgā locījumā), kā arī papildināt 45.2.apakšpunktu ar atsauci uz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arī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45.6. īsteno vismaz vienu vispārīgās un vismaz vienu specifiskās darbības, kā arī nodrošina datu uzkrāšanu un ziņošanu par vismaz vienu rādītāju, kas veicina horizontālā principa "Vienlīdzība, iekļaušana, nediskriminācija un pamattiesību ievērošana"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projektā ir jābūt iekļautam 1 HP rādītājam, ja plānota netieša ietekme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Finansējuma saņēmējs projekta īstenošanas laikā nodrošina interešu konflikta nepieļaujamību saskaņā ar Komisijas regulas Nr. 2018/1046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ņemot vērā, ka tiek dublēts MK noteikumu 45.8.apakšpunkts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32.11. </w:t>
            </w:r>
            <w:r w:rsidR="00000000" w:rsidRPr="00000000" w:rsidDel="00000000">
              <w:rPr>
                <w:rtl w:val="0"/>
              </w:rPr>
              <w:t xml:space="preserve">apakšpunkta</w:t>
            </w:r>
            <w:r w:rsidR="00000000" w:rsidRPr="00000000" w:rsidDel="00000000">
              <w:rPr>
                <w:rtl w:val="0"/>
              </w:rPr>
              <w:t xml:space="preserve"> izmaksas iespējams attiecināt sīkie (mikro), mazie, vidējie un lielajiem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52.punkts attiecībā uz atbalstu lielajiem komersantiem neievēro KP programmas 2021-2027 (85) paragrāfa nosacījumus attiecībā uz 1.2.1. SAM mērķa grupu, kas ir t.sk. </w:t>
            </w:r>
            <w:r w:rsidR="00000000" w:rsidRPr="00000000" w:rsidDel="00000000">
              <w:rPr>
                <w:i w:val="1"/>
                <w:rtl w:val="0"/>
              </w:rPr>
              <w:t xml:space="preserve">gan MVK, gan small mid-caps (ar darbinieku skaitu līdz 499); Savukārt midd-caps, ar darbinieku skaitu līdz 3000), kā aŗi lielie saimnieciskās darbības veicēji ar nosacījumu, ja tas ietver sadarbību minētajās aktivitātēs ar MVU P&amp;I aktivitātēs (t.sk. pašvaldību un valsts kapitālsabiedrības).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Šo noteikumu </w:t>
            </w:r>
            <w:r w:rsidR="00000000" w:rsidRPr="00000000" w:rsidDel="00000000">
              <w:rPr>
                <w:rtl w:val="0"/>
              </w:rPr>
              <w:t xml:space="preserve">32.11. </w:t>
            </w:r>
            <w:r w:rsidR="00000000" w:rsidRPr="00000000" w:rsidDel="00000000">
              <w:rPr>
                <w:rtl w:val="0"/>
              </w:rPr>
              <w:t xml:space="preserve">apakšpunktā</w:t>
            </w:r>
            <w:r w:rsidR="00000000" w:rsidRPr="00000000" w:rsidDel="00000000">
              <w:rPr>
                <w:rtl w:val="0"/>
              </w:rPr>
              <w:t xml:space="preserve"> izmaksu segšanai LIAA piešķir komercdarbības atbalstu saskaņā ar Eiropas Komisijas 2013. gada 18. decembra Regulas Nr. 1407/2013 par Līguma par Eiropas Savienības darbību 107. un 108. panta piemērošanu de minimis atbalstam 2.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ietvaros ir plānots piešķirt komersantiem komercdarbības atbalstu saskaņā ar Eiropas Komisijas 2013. gada 18. decembra Regulas Nr. 1407/2013 par Līguma par Eiropas Savienības darbību 107. un 108. panta piemērošanu de minimis atbalstam, lai atbalsta saņēmējam būtu skaidri visi ar komercdarbības atbalsta piešķiršanu saistītie nosacījumi, lūdzam noteikumos iekļaut visus nosacījumus komercdarbības atbalsta piešķiršanai. Lūdzam skatīt FM sagatavoto materiālu "Rokasgrāmata de minimis atbalsta piešķiršanai (aktualizēts 2022. gada jūnijā)" https://www.fm.gov.lv/lv/skaidrojosie-materiali.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sniegt skaidrojumu ar pamatojumu par RIS3 monitoringa plānotajam izmaksām, t.sk. iesaistītajiem cilvēkresursiem. EM RIS3 monitoringa nodrošināšanai šī pasākuma ietvaros ir ieplānoti 1.2.milj eur, kā arī 577 400 eur no ANM 5.1.1.1. i.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neizraisītu liekas interpretācijas iespējas, lūdzam visā anotācijā precizēt terminu no "viedās specializācijas ilgtermiņa stratēģija" uz "viedās specializācijas jomas ilgtermiņa stratēģija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šīs kārtas atbilstību Programmā plānotajam, iekļaujot atsauces uz Programmas iezīmēto atbalstu (piemēram, Programmas (76), (80) paragrāfu par ekosistēmu attīstību un (81) paragrāfu par RIS3 monitoringu u.c.), lai no tā būtu viennozīmīgi skaidrs, ka šīs kārtas mērķis atbilst Programmā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Kontekstā ar pasākuma plānoto ietekmi uz tautsaimniecību (t.sk. norādot pēc iespējas izmērāmus faktiski sagaidāmos rezultātus/ rādītājus; Investīciju pienesumu tautsaimniecībai kā piemēram izmērāma ietekmes uz makroekonomisko vidi, pienesuma ekonomikas transformācijai, nozaru konkurētspējai, uzņēmējdarbības videi, nodarbinātībai, kā arī ietekme uz nozaru politikas mērķiem, Latvijas Nacionālajā attīstības plāna 2021.–2027.gadam noteiktajiem mērķiem u.c.), kas atspoguļojama anotācijā, vēršam uzmanību uz Ministru kabineta 2023. gada 13. jūlija sēdes protokollēmumu (prot. Nr. 36 85. § 3. punkts) , kas nosaka,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izmaksu un ieguvumu analīze pēc būtības ir nepieciešama, lai noteiktu, vai plānotajā projektā gaidāmie ieguvumi (finanšu vai sociālekonomiskie) ir lielāki par projekta izmaksām visā projekta dzīves ciklā. Parasti publiskās pārvaldes projekti finansiāli rada zaudējumus, tādēļ vienīgais to attaisnojošais iemesls ir gaidāmie sociālekonomiskie ieguvumi no projekta jeb labums sabiedrībai (iedzīvotājiem). Kā piemēri potenciālajiem ieguvumiem būtu meklējami valsts pārvaldes izmaksu, kas nepieciešami funkciju veikšanai, ietaupījumā, papildus valsts budžeta ieņēmumos vai privātā sektora ieguvumos (salīdzinot situāciju ar projektu un bez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9.punktā ir norādīts, ka pasākuma ietvaros kā gala labuma guvēji būs komersanti, kas saņēmuši nefinansiālu atbalstu. Attiecīgi izmaksu un ieguvumu analīzes ietvaros jāizvērtē, vai kopējie ieguvumi (piemēram, atbalstīto komersantu papildus samaksātie nodokļi projekta dzīves cikla laikā) būs lielāki par projekta investīciju un darbības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EM papildināt anotāciju ar pasākuma ieguvumu- izmaksu analīzi atbilstoši sadarbības iestādes metodiskajiem materiāliem, kā arī iekļaut informāciju par pasākuma plānoto ietekmi uz tautsaimniecību, adresējot augstāk minētos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augstākminēto jautājumu ir nepieciešams savstarpēji izrunāt, aicinām EM organizēt starpministriju sanāksmi, pieaicinot arī CFLA kolēģus.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jābūt iekļautam novērtējumam par pasākuma plānoto ietekmi uz tautsaimniecību, t.sk. norādot pēc iespējas izmērāmus faktiski sagaidāmos rezultātus/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Investīciju pienesumu tautsaimniecībai atspoguļo, piemēram, izmērāma ietekme uz makroekonomisko vidi, pienesums ekonomikas transformācijai, nozaru konkurētspējai, uzņēmējdarbības videi, nodarbinātībai, kā arī ietekme uz nozaru politikas mērķiem, Latvijas Nacionālajā attīstības plāna 2021.–2027.gadam noteiktajiem mērķiem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(1)”Vispārīgie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rādītāju sasniegšanas termiņiem, t.i., pirms uzskatījuma norādīts: “1.2.1.1.pasākuma ietvaros līdz 2029. gada 31. decembrim ir sasniedzami šādi iznākuma rādītāji:”, savukārt a) apakšpunktā norādīts:”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dzēst “Lēmumu par projekta iesnieguma apstiprināšanu, apstiprināšanu ar nosacījumu vai noraidīšanu CFLA jāpieņem mazāk nekā 3 mēnešu laikā, anotācijā ir iekļauts atbilstošs pamatojums.”, ņemot vērā, ka lēmuma pieņemšanas termiņu nosaka Eiropas Savienības fondu 2021.-2027.gada plānošanas perioda vadības likums. Ja minētā atruna netiek dzēsta, lūdzam noteikt precīzu termiņu, piemēram, ja paredzēts pieņemt lēmumu divu mēnešu laikā, “sadarbības iestāde lēmumu par projekta iesnieguma apstiprināšanu, apstiprināšanu ar nosacījumu vai noraidīšanu pieņem divu mēnešu laikā pēc projekta iesnieguma iesniegšanas beigu datuma”, un sniegt nozīmīgu pamatojumu šādam nosacījumam, kā arī papildināt MK noteikumu projektu, nosakot lēmuma pieņemšanas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anotācijas (3) Inovāciju sistēmas pārvaldības modeļa iesaistīto institūciju un finansējuma saņēmēju pienākumi" iekļautajiem Atbildīgās iestādes pienākumiem, kas uzskaitīti 1.3. (sadarbībā ar IZM nodrošināt RIS3 specializācijas jomu analītikas procesu un sagatavot monitoringa ziņojumus) un 1.4.punktos (nodrošināt šī ziņojuma 29.punktā noteikto pasākuma atskaites punktu un mērķu sasniegšanu, vēršam uzmanību, ka 1.2.punkts dublē 1.1.2.punktu, savukārt 1.4. punkts neattiecas uz šī pasākuma MKN projektu. Lūdzam attiecīgi pārskatīt vai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Tāpat attiecībā uz 1.7.3.punktu (līdz 2029. gadā veiks ieviestā RIS3 pārvaldības modeļa (pasākuma ietvaros īstenoto aktivitāšu) </w:t>
            </w:r>
            <w:r w:rsidR="00000000" w:rsidRPr="00000000" w:rsidDel="00000000">
              <w:rPr>
                <w:u w:val="single"/>
                <w:rtl w:val="0"/>
              </w:rPr>
              <w:t xml:space="preserve">sākotnējo</w:t>
            </w:r>
            <w:r w:rsidR="00000000" w:rsidRPr="00000000" w:rsidDel="00000000">
              <w:rPr>
                <w:rtl w:val="0"/>
              </w:rPr>
              <w:t xml:space="preserve"> izvērtējumu un tā pilnveidi), līdzam skatīt iebildumu pie MKN projekta 25.7.3.apakšpunkta.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 Inovāciju sistēmas pārvaldības modeļa iesaistīto institūciju un finansējuma saņēmēju pienākumi" iekļauto Atbildīgās iestādes pienākumu kā finansējuma saņēmējam veikt analītikas un monitoringa sistēmas </w:t>
            </w:r>
            <w:r w:rsidR="00000000" w:rsidRPr="00000000" w:rsidDel="00000000">
              <w:rPr>
                <w:u w:val="single"/>
                <w:rtl w:val="0"/>
              </w:rPr>
              <w:t xml:space="preserve">izveidi </w:t>
            </w:r>
            <w:r w:rsidR="00000000" w:rsidRPr="00000000" w:rsidDel="00000000">
              <w:rPr>
                <w:rtl w:val="0"/>
              </w:rPr>
              <w:t xml:space="preserve"> uzņēmējdarbības sektoram RIS3 specializācijas jomās, lūdzam skatīt iebildumu pie MKN projekta 25.1.apakšpunkta un veikt attiecīgus precizējumus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sadaļā (3) Inovāciju sistēmas pārvaldības modeļa iesaistīto institūciju un finansējuma saņēmēju pienākumi" aprakstīto attiecībā uz RIS3 vadības grupas sastāvu un RIS3 jomas akadēmiskais vadītāju un RIS3 jomas vadītāju, lūdzu skat.iebildumu pie MKN 19.2. un 19.3.apakšpunkta un attiecīgi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sadaļas Vispārigie nosacījumi  minēto,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d) līdz 2029.gada 31.decembrim publicēts uzraudzības ziņojums, kurā sniegta informācija par katru RIS3 jomu, inovācijas pārvaldības modeļa darbību un ilgtermiņa finansēšanu", lūdzam skatīt iebildumu pie MKN projekta 9.4.apakšpunkta.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anotācijas sadaļā "Risinājuma apraksts"attiecībā uz jauno institucionālo inovāciju pārvaldības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iekļaut atsauci uz LITAF ziņojumu (2022), kas nosaka nacionālo inovāciju pārvaldības modeli un pasākumus  un RIS3 pārvaldības uzlabošanai no 2022.gada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atbilstoši precizēt anotācijas 1.3.sadaļā šādu tekstu: "Atbildīgā iestāde nodrošinās, ka uzdevumus un funkcijas, ko tā pilda kā finansējuma saņēmējs  tiktu nodalīti no uzdevumiem un funkcijām, kuras tā pilda kā nozares ministrija. Nozares ministrijas un finansējuma saņēmēja uzdevumus pilda atšķirīgas struktūrvienības un to uzdevumi, īstenojot pasākumu, nepārklājas. Pasākuma īstenošanai atbildīgās iestādes funkcijas tiks noteiktas  ar iekšējo normatīvo aktu."  Vēršam uzmanību, ka atbildīgā iestāde nevar būt finansējuma saņēmējs un ir nepieciešams nodalīt funkcijas, proti, Ekonomikas ministrijas kā finansējuma saņēmēja funkcijas no atbildīgās iestādes funkcijām, lai varētu piešķirt finansējumu. Atbilstoši Eiropas Savienības fondu 2021.—2027. gada plānošanas perioda vadības likuma 11.panta piektajai daļai atbildīgajai iestādei ir pienākums nodrošināt, lai funkcijas, kuras tā saskaņā ar šo likumu pilda kā atbildīgā iestāde, tiktu nodalītas no citām tās funkcijām, tostarp tādām, kuras tā pilda kā finansējuma saņēmējs. Ievērojot minēto, lūdzam atbilstoši precizēt visā anotācijas un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skaidrojumu, kā tiks nodrošināta šī pasākuma ietvaros sniegto konsultāciju nepārklāšanās ar Latvijas zinātnes padomes sniegtajām konsultācijām 1.1.1.5. pasākuma “Latvijas pilnvērtīga dalība Apvārsnis Eiropa programmā, tajā skaitā nodrošinot kompleksu atbalsta instrumentu klāstu un sasaisti ar RIS3 specializācijas jomu attīstīšanu”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5.1.1.1.i. investīcijas finansējums ir plānots līdz 2026.gadam. Vēršam uzmanību, ka 5.1.1.1.i. informatīvajā ziņojumā ir noteikts, ka Atveseļošanas fonda ietvaros EM uz LIAA izveidotās darba vietas pēc 2026.gada 30. jūlija tiks segtas 100 procentu apjomā no Eiropas Savienības kohēzijas politikas programmu 2021.–2027. gadam 1.2. prioritārā virziena "Atbalsts uzņēmējdarbībai" 1.2.1. specifikā atbalsta mērķa "Pētniecības un inovāciju kapacitātes stiprināšana un progresīvu tehnoloģiju ieviešana uzņēmumiem" 1.2.1.1. pasākumu "Atbalsts jaunu produktu attīstībai un internacionalizācijai" 1.kārta līdzekļiem. Lūdzam skaidrot, kā praktiski tiks nodrošināta demarkācija ar Programmas 1.2.1.1. pasākuma 1.kārtu. Papildus lūdzam papildināt anotāciju ar skaidrojumu, kāda ir šī pasākuma galvenā atšķirība no īstenošanā esošās AF 5.1.1.1.i. investīcijas atbalsta.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norādīto intervences kodu atbilstoši aktuālajam DPP - uz šo kārtu attiecināms 170 intervences kods.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vai šajā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"1.2.1.1.pasākuma ietvaros LIAA sniedz atbalstu granta veidā sīkie (mikro), mazie, vidējie un lielajiem komersanti programmas “Apvārsnis Eiropa” un citu starptautisko pētniecības un attīstības sadarbības iniciatīvu ietvaros, kas ieguvuši virs kvalitātes sliekšņa novērtējumu, bet nesaņēma finansējumu, atvērtajos projektu konkursos iesniegto un atbalstīto ar saimniecisku darbību saistīto projektu konkrēta uzņēmuma pieteikuma sagatavošanas izmaksas. Kopējais atbalsts minēto izmaksu segšanai ir 4 389 638 euro, tai skaitā Eiropas Reģionālās attīstības fonda finansējums 3 731 192 euro un valsts budžeta līdzfinansējums 658 446 euro no šo noteikumu 12.2.apakšpunktā minētā finansējuma. Vienam komersantam maksimālais atbalsta apjoms ir 10 000 euro." nav attiecināms Regulas Nr. 2021/1060 53.panta 2.punktā noteiktais par obligātu vienkāršoto izmaksu piemērošanu. Ja Regulas nosacījums uz šo pasākumu nav attiecināms, aicinām anotācijā ietvert skaidrojumu, ka šajā pasākumā neizpildās obligāta Regulas Nr. 2021/1060 53.panta 2.punkta ievērošana.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(4) “Atbalstāmās darbības un izmaksas” degvielas izmaksas tiek norādītas gan kā transporta izmaksas, gan komandējumu un darba braucienu izmaksas. Lūdzam skaidri identificēt transporta izmaksas un komandējumu un darba braucienu izmaksas, kā arī šo izmaksu apakšpozīcijas;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3.sadaļā atspoguļoto ietekmi uz budžetu, ievērojot, ka 1., 1.1.punktā jānorāda ERAF finansējuma daļa, kas ir 85%, 2. un 2.1.punktā kopējais finansējuma apmērs, savukārt 3., 3.1., 5. un 5.1.punktā valsts budžeta finansējuma daļa, kas ir 15%. Turklāt lūdzam 6.punktā svītrot informāciju par Taisnīgas pārkārtošanās fonda un ESF+ finansējumu, ņemot vērā, ka noteikumu projekts paredz Eiropas Reģionālās attīstības fonda finansējumu, kā arī precizēt šobrīd norādīto projektu ieviešanas periodu.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noteikumu projekta 15. un 17.punktam projekta iesniedzējs un finansējuma saņēmējs ir Ekonomikas ministrija un Latvijas Investīcijas un attīstības aģentūra, attiecīgi nepieciešamo finansējumu no 74.resora "Gadskārtējā valsts budžeta izpildes procesā pārdalāmais finansējums" 80.00.00 programmas "Nesadalītais finansējums Eiropas Savienības politiku instrumentu un pārējās ārvalstu finanšu palīdzības līdzfinansēto projektu un pasākumu īstenošanai" pieprasīs Ekonomikas ministrija nevis Finanšu ministrija. Ņemot vērā minēto, lūdzam precizēt anotācijas 3.sadaļas punktā “Cita informācija” sniegto informāciju, izsakot to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Ekonomikas ministrija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1.2. prioritārā virziena “Produktivitāte, inovācijas un prasmes” 1.2.1. specifiskā atbalsta mērķa "Pētniecības un inovāciju kapacitātes stiprināšana un progresīvu tehnoloģiju ieviešana uzņēmumiem" 1.2.1.1. pasākuma “Atbalsts jaunu produktu attīstībai un internacionalizācijai” 1.kārtu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 un 25.7.2.apakšpunktā skaitļus un vārdus "1.2. prioritārā virziena “Produktivitāte, inovācijas un prasmes”", kā arī atbilstoši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īstenošanas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 apakšpunktu, ņemot vērā, ka attiecīgie nosacījumi ir noteikti noteikumu projekta 1.1.apakšpunktā.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vienkāršoto izmaksu piemērošanas nosacījumus un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1.7. apakšpunktu aiz vārda "nosacījumus" ar vārdiem "tostarp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RIS3 jomas vadības grupa (šobrīd Atveseļošanas un noturības mehānisma plānā nosaukts kā inovācijas klasteris) - sadarbības platforma, kurā nozares uzņēmumu, kompetences centru, klasteru, asociāciju, zinātnisko institūciju un ministrijas pārstāvju un citi nozares dalībnieki-– izstrādā viedās specializācijas (RIS3) ilgtermiņa stratēģiju, konsolidē, identificē, apstiprina un ievieš darbības plānu;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juridisko tehniku aicinām informāciju iekavās par Atveseļošanas un noturības mehānisma plānu, ja tāda nepieciešama, iekļaut anotācijā, nevis 2.3.apakšpunktā.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kompetences centrs -  juridiska persona, kam piešķirts finansējums inovāciju projekta īstenošanai, lai veicinātu viedās specializācijas ilgtermiņa stratēģijas mērķu sasniegšanu sekmējot uzņēmumu sadarbību un ieguldījumus pētniecības, attīstības un inovācijas (turpmāk - P&amp;A&amp;I) aktivitātēs;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2.5.apakšpunktā iekļauto definīciju un tās nepieciešamību šī noteikumu projekta ietvaros, ņemot vērā, ka netiek piešķirts finansējums kompetences centram.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trīskāršā spirāle (angliski triple-helix) – sadarbības modelis starp valsts iestādēm, pētniecības iestādēm un uzņēmumiem, lai virzītos uz zināšanu ietilpīgu sabiedrību un inovācijām.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noteikumu projekta 2.6.apakšpunktā iekļauto definīciju un iekļaut to tikai anotācijā, ņemot vērā, ka šis termins tālāk neparādās noteikumu projekta tekstā, un nav skaidrs šīs iekļautās normas saturs un pielietojums.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8 235 295 euro (tai skaitā elastības finansējuma apjoms 1 298 914 euro), tai skaitā ERAF finansējums 7 000 000 euro (tai skaitā elastības finansējuma apjoms 1 104 077 euro) un valsts budžeta līdzfinansējums 1 235 295 euro (tai skaitā elastības finansējuma apjoms 194 837 euro). Maksimālais ERAF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Maksimālā ERAF finansējuma intensitāte ir 85 % no projektam plānotā kopējā attiecināmā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8 235 295 euro (tai skaitā elastības finansējuma apjoms 1 298 914 euro), tai skaitā ERAF finansējums 7 000 000 euro (tai skaitā elastības finansējuma apjoms 1 104 077 euro) un valsts budžeta līdzfinansējums 1 235 295 euro (tai skaitā elastības finansējuma apjoms 194 837 euro). Maksimālais ERAF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vārdus "plānotais kopējais finansējums" uz "plānotais kopējais attiecināmais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Pasākumam pieejamais kopējais finansējums, kas minēts šo noteikumu 11. punktā, sadalās šādi: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12.punktā svītrot atsauci uz 11.punktu, jo 11.punktā nav minēts pieejamais kopējais finansējums, bet plānotais pieejamais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sagatavo projekta iesniegumu atbilstoši projekta iesniegumu atlases nolikumā noteiktajām prasībām un iesniedz to sadarbības iestādē, izmantojot Kohēzijas politikas fondu vadības informācijas sistēmu. Ja sadarbības iestāde apstiprina projekta iesniegumu un noslēdz vienošanos par projekta īstenošanu, projekta iesniedzējs ir arī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Savienības fondu 2021-2027.gada plānošanas perioda vadības likuma 1.panta 3.punktā minētajam, finansējuma saņēmējs ir persona, kuras projekta iesniegums ir apstiprināts. Ievērojot minēto, lūdzam svītrot noteikumu projekta 17.punktā vārdu "arī", attiecīgi precizējot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EM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kur attiecināms, noteikumu projektā norādīt, vai ar Ekonomikas ministriju saprotama nozares ministrija, vai pēc nepieciešamības precizēt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Lai nodrošinātu RIS3 jomu ilgtermiņa stratēģiju ne tikai izstrādi, bet pastāvīgu pilnveidošanu un īstenošanu, inovāciju pārvaldes modelī nepieciešams nodrošināt aktīvu nozares asociāciju ekspertīzi. Attiecīgi plānots, ka līdz ar pasākuma ieviešanu RIS3 jomās vadības grupu (inovācijas klasteri) esošās nozares asociācijas ekspertus LIAA veic slēgto atlasi un slēdz vienošanos par noteiktu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punkta otro teikumu - neskaidrs formulējums.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nozares asociāciju ekspertu RIS3 jomās, kuru funkciju nodrošināšanai tiek pārdalīts no LIAA, ir šādi pienākumi, kas tiek iekļauti līgumā starp LIAA un nozares ekspertu: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kas tiek pārdalīts no LIAA, funkciju nodrošināšanai. Lūdzam precizēt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organizēt un komunicēt par izstrādāto stratēģiju starp nozarēm un pētniecības organizācijām vai valsti;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LIAA ir jāorganizē šī pienākuma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Atbildīgās iestādes ir šādi pienākumi kā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aizstāt vārdus "Atbildīgās iestādes" ar "EM" atbilstoši noteikumu projektā lietotajiem saīsinājumiem, attiecīgi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Atbildīgās iestādes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26.punktā noteiktos atbildīgas iestādes pienākumus un nodrošināt, lai tie nedublē Eiropas Savienības fondu 2021.—2027. gada plānošanas perioda vadības likuma 11.panta trešajā daļā minētos atbildīgās iestādes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nodrošināt šo noteikumu </w:t>
            </w:r>
            <w:r w:rsidR="00000000" w:rsidRPr="00000000" w:rsidDel="00000000">
              <w:rPr>
                <w:rtl w:val="0"/>
              </w:rPr>
              <w:t xml:space="preserve">9.</w:t>
            </w:r>
            <w:r w:rsidR="00000000" w:rsidRPr="00000000" w:rsidDel="00000000">
              <w:rPr>
                <w:rtl w:val="0"/>
              </w:rPr>
              <w:t xml:space="preserve">punktā</w:t>
            </w:r>
            <w:r w:rsidR="00000000" w:rsidRPr="00000000" w:rsidDel="00000000">
              <w:rPr>
                <w:rtl w:val="0"/>
              </w:rPr>
              <w:t xml:space="preserve"> noteikto pasākuma atskaites punktu un mērķu sasniegšanu un  pamatojošās dokumentācijas pārbaudi, t.sk. datu ticamības pārbaudi;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dzēst šo apakšpunktu, jo šis nav Atveseļošanas fonda pasākums. 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LIAA 1.2.1.1.pasākuma ietvaros sniedz atbalstu komersantiem starptautiskās sadarbības un atpazīstamības nodrošināšanai, tai skaitā atbalsts projektu iesniedzējiem projektu iesniegumu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1.1. apakšpunktā atrunāto saīsinājumu, lūdzam noteikumu projekta  29. punktā svītrot skaitli "1.2.1.1.".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Izmaksu attiecināmība sākas no projekta iesnieguma iesniegšanas dienas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norādot "Kohēzijas politikas fondu vadības informācijas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personāla izmaksas – finansējuma saņēmēja projekta vadības un projekta īstenošanas personāla atlīdzības izmaksas (izņemot virsstundas) šo noteikumu </w:t>
            </w:r>
            <w:r w:rsidR="00000000" w:rsidRPr="00000000" w:rsidDel="00000000">
              <w:rPr>
                <w:rtl w:val="0"/>
              </w:rPr>
              <w:t xml:space="preserve">28.</w:t>
            </w:r>
            <w:r w:rsidR="00000000" w:rsidRPr="00000000" w:rsidDel="00000000">
              <w:rPr>
                <w:rtl w:val="0"/>
              </w:rPr>
              <w:t xml:space="preserve">punktā</w:t>
            </w:r>
            <w:r w:rsidR="00000000" w:rsidRPr="00000000" w:rsidDel="00000000">
              <w:rPr>
                <w:rtl w:val="0"/>
              </w:rPr>
              <w:t xml:space="preserve">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šeit un turpmāk visā MK noteikumu projektā precizēt uz "projekta vadības un projekta īstenošanas personāla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redakcionāli, ka metodika tiks saskaņota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uz "transporta pakalpojumu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 ārpakalpojuma izmaksas projekta vadībā un īstenošanā iesaistītā personāla kvalifikācijas celšanai un sadarbības tīklu veidošanai;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tieši kādi pasākumi paredzēti šajā izmaksu pozīcijā iesaistītā personāla kvalifikācijas celšanai - vai šiet tiek plānotas specializētās mācības? Vai paredzēti arī citi kvalifikācijas celšanas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pētniecības un inovāciju konferences organizēšanas izmaksas (telpu īre, tehniskais nodrošinājums, ēdināšanas izmaksas, tiešraides nodrošināšana, tulkošanas izmaksas, transporta izmaksas, komandējumu izmaksas, noformējuma izmaksas un citas organizatoriskās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"transporta izmaksas"precizēt uz "transporta pakalpojumu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ekspertu piesaistes izmaksas, tulkošanas izmaksas un citas izmaksas, kuras saistītas ar RIS3 specializācijas jomu ilgtermiņa stratēģiju un rīcības plānu izstrādi, pārvaldības sistēmas pilnveidi, tai skaitā stratēģiju efektivitātes novērtēšanu ja nepieciešams, ko attiecināt var tikai šo noteikumu 28.5. apakšpunkta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kādas izmaksas varētu tikt paredzētas kā "citas izmaksas" stratēģijas un rīcības plāna izstrādes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 apdrošināšanas - veselības, dzīvības, transportlīdzekļu, īpašuma, iekārtu, civiltiesiskās atbildības - izmaksas uz projekta īstenošanas laiku, kuru nepieciešamību nosaka Latvijas Republikas normatīvie akti;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veselības apdrošināšanas izmaksas ietilpst personāla izmaksās, līdz ar to nav vēl papildus attiecināmas.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 tiešās attiecināmās personāla izmaksas – finansējuma saņēmēja projekta vadības un projekta īstenošanas personāla atlīdzības izmaksas (izņemot virsstundas) 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minētās atbalstāmās darbības īstenošanai. Izmaksas ir attiecināmas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redakcionāli, ka metodika tiks saskaņota ar vadošo iestādi.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iesaistīto vadītāju un darbinieku kompetenču celšanas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tieši kādi pasākumi paredzēti šajā izmaksu pozīcijā iesaistīto vadītāju un darbinieku kompetenču celšanai - vai tiek plānotas specializētās mācības? Vai tiek paredzēti arī citi pasākumi?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Baranovska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 iesaistīto vadītāju un darbinieku kompetenču celšanas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nosakot, ka attiecināmas projekta vadībā un īstenošanā iesaistīto vadītāju un darbinieku kompetenču celšanas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Laugale-Volbaka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minētās neparedzētās izmaksas projektā plāno kā vienu izdevumu pozīciju. Neparedzētās izmaksas nepārsniedz divus procentus no šo noteikumu ietvaros minētajām tiešajām attiecināmajām izmaksām, un to izlietošanu finansējuma saņēmējs saskaņo ar sadarbības iestādi, ievērojot līgumu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gadījumā, ja finansējuma saņēmējs ir valsts pārvaldes iestāde, tiek slēgta vienošanās (nevis līgums) par projekta īstenošanu. Lūdzam atbilstoši precizēt noteikumu projektu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pasākuma īstenošanā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attiecināmajām izmaksām piemēro vadošās un atbildīgās iestādes sagatavotās 2021.–2027. gada plānošanas perioda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pirms skaitļiem "2021.-2027." ar vārdiem "Eiropas Savienības fondu" un lūdzam papildināt noteikumu projekta 36.punktu ar vārdu "iestādes" aiz vārda "vadošās".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saņēmējs pasākuma īstenošanā attiecībā uz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 </w:t>
            </w:r>
            <w:r w:rsidR="00000000" w:rsidRPr="00000000" w:rsidDel="00000000">
              <w:rPr>
                <w:rtl w:val="0"/>
              </w:rPr>
              <w:t xml:space="preserve">punktā</w:t>
            </w:r>
            <w:r w:rsidR="00000000" w:rsidRPr="00000000" w:rsidDel="00000000">
              <w:rPr>
                <w:rtl w:val="0"/>
              </w:rPr>
              <w:t xml:space="preserve"> minētajām attiecināmajām izmaksām piemēro vadošās un atbildīgās iestādes sagatavotās 2021.–2027. gada plānošanas perioda vienkāršoto izmaksu metodikas, tiklīdz minētās metodikas stājas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redakcionāli papildināms, piemēram, šādi: "ja projekta īstenošanas laikā VI vai AI izstrādā vienkāršoto izmaksu metodiku kādām no šo noteikumu 31. un 32.punktā minētajām attiecināmajām izmaksām, finansējuma saņēmējs tās piemēro no metodiku spēkā stāšanās brīža".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Pasākuma atbalstāmo darbību ietvaros ir attiecināms pievienotās vērtības nodoklis tiešajām attiecināmajām izmaksām atbilstoši Eiropas Parlamenta un Padomes 2021. gada 24. jūnija Regulas (ES) 2021/1060 (turpmāk - Regula (ES) 2021/1060) 64. panta 1. punkta "c" apakšpunkta nosacījumiem, ja tas nav atgūstams atbilstoši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37. punktu, ievērojot noteikumu projekta 33. punktā atrunāto regulas nosaukuma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saņēmējam projekta izmaksas ir attiecināmas, ja tās atbilst šajos noteikumos minētajām izmaksu pozīcijām un ir radušās no dienas, kad noslēgts līgums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38.punktu un norādīt atsauci uz konkrētiem šo noteikumu punktiem, lai būtu skaidri uztveramas un piemērojamas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Projekta īstenošanas gaitā radušās sadārdzinājuma izmaksas finansējuma saņēmējs sedz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39.punktu, ņemot vērā, ka finansējuma saņēmēji ir valsts budžeta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45.7. nodrošina informācijas uzkrāšanu par šo noteikumu </w:t>
            </w:r>
            <w:r w:rsidR="00000000" w:rsidRPr="00000000" w:rsidDel="00000000">
              <w:rPr>
                <w:rtl w:val="0"/>
              </w:rPr>
              <w:t xml:space="preserve">9. </w:t>
            </w:r>
            <w:r w:rsidR="00000000" w:rsidRPr="00000000" w:rsidDel="00000000">
              <w:rPr>
                <w:rtl w:val="0"/>
              </w:rPr>
              <w:t xml:space="preserve">punktā</w:t>
            </w:r>
            <w:r w:rsidR="00000000" w:rsidRPr="00000000" w:rsidDel="00000000">
              <w:rPr>
                <w:rtl w:val="0"/>
              </w:rPr>
              <w:t xml:space="preserve"> minēto rezultāta rādītāja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apakšpunktu, jo noteikumu projekta 9. punktā tiek norādīti iznākuma rādītāji, nevis rezultāta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Fomčenkova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Projekta īstenošanas vieta ir Latvijas Republikas teritorija.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48.punktu, jo tas dublē noteikumu projekta 45.8.apakšpunktā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Šo noteikumu </w:t>
            </w:r>
            <w:r w:rsidR="00000000" w:rsidRPr="00000000" w:rsidDel="00000000">
              <w:rPr>
                <w:rtl w:val="0"/>
              </w:rPr>
              <w:t xml:space="preserve">32.11. </w:t>
            </w:r>
            <w:r w:rsidR="00000000" w:rsidRPr="00000000" w:rsidDel="00000000">
              <w:rPr>
                <w:rtl w:val="0"/>
              </w:rPr>
              <w:t xml:space="preserve">apakšpunkta</w:t>
            </w:r>
            <w:r w:rsidR="00000000" w:rsidRPr="00000000" w:rsidDel="00000000">
              <w:rPr>
                <w:rtl w:val="0"/>
              </w:rPr>
              <w:t xml:space="preserve"> izmaksas iespējams attiecināt sīkie (mikro), mazie, vidējie un lielajiem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korektu interpretāciju, lūdzam precizēt noteikumu projekta 52.punktu.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Šo noteikumu </w:t>
            </w:r>
            <w:r w:rsidR="00000000" w:rsidRPr="00000000" w:rsidDel="00000000">
              <w:rPr>
                <w:rtl w:val="0"/>
              </w:rPr>
              <w:t xml:space="preserve">55. </w:t>
            </w:r>
            <w:r w:rsidR="00000000" w:rsidRPr="00000000" w:rsidDel="00000000">
              <w:rPr>
                <w:rtl w:val="0"/>
              </w:rPr>
              <w:t xml:space="preserve">punkta</w:t>
            </w:r>
            <w:r w:rsidR="00000000" w:rsidRPr="00000000" w:rsidDel="00000000">
              <w:rPr>
                <w:rtl w:val="0"/>
              </w:rPr>
              <w:t xml:space="preserve">​</w:t>
            </w:r>
            <w:r w:rsidR="00000000" w:rsidRPr="00000000" w:rsidDel="00000000">
              <w:rPr>
                <w:rtl w:val="0"/>
              </w:rPr>
              <w:t xml:space="preserve"> maksimālais attiecināmais ERAF finansējuma apmērs nepārsniedz 85 procentus no projekta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piemērojamās normas ir skaidras un nepārprotamas, aicinām izvērtēt un pēc nepieciešamības svītrot noteikumu projekta 56.punktu, ievērojot, ka šāda tiesību norma jau ir izteikta noteikumu projekta 11.punktā.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un pamatot MKN projekta 32.5. un 32.12.3. apakšpunktā noteikto dzīvības un nekustamā īpašuma apdrošināšanas izmaksu nepieciešamību šī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(3) Inovāciju sistēmas pārvaldības modeļa iesaistīto institūciju un finansējuma saņēmēju pienākumi" iekļauto informāciju par IPPP, lūdzam precizēt rindkopas, kurā minēts, ka "k</w:t>
            </w:r>
            <w:r w:rsidR="00000000" w:rsidRPr="00000000" w:rsidDel="00000000">
              <w:rPr>
                <w:i w:val="1"/>
                <w:rtl w:val="0"/>
              </w:rPr>
              <w:t xml:space="preserve">ā galvenais mehānisms inovāciju institucionālā un RIS3 pārvaldības modeļa pilnveidošanai t</w:t>
            </w:r>
            <w:r w:rsidR="00000000" w:rsidRPr="00000000" w:rsidDel="00000000">
              <w:rPr>
                <w:i w:val="1"/>
                <w:u w:val="single"/>
                <w:rtl w:val="0"/>
              </w:rPr>
              <w:t xml:space="preserve">iek piedāvāts veidot </w:t>
            </w:r>
            <w:r w:rsidR="00000000" w:rsidRPr="00000000" w:rsidDel="00000000">
              <w:rPr>
                <w:i w:val="1"/>
                <w:rtl w:val="0"/>
              </w:rPr>
              <w:t xml:space="preserve">sadarbības veicināšanas inovāciju un pētniecības pārvaldības padome,</w:t>
            </w:r>
            <w:r w:rsidR="00000000" w:rsidRPr="00000000" w:rsidDel="00000000">
              <w:rPr>
                <w:rtl w:val="0"/>
              </w:rPr>
              <w:t xml:space="preserve">  redakciju, ņemot vērā, ka IPPP jau ir izveidota un 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(5) Projekta īstenošanas un finansējuma saņemšanas nosacījumi un visā anotācijā precizēt un svītrot teksta daļas, kas attiecas uz ANM investīciju, nevis šo pasākumu. Piemēram 11.lpp.minēts, ka Noteikumu projektā norādītās prasības noteiktas s</w:t>
            </w:r>
            <w:r w:rsidR="00000000" w:rsidRPr="00000000" w:rsidDel="00000000">
              <w:rPr>
                <w:u w:val="single"/>
                <w:rtl w:val="0"/>
              </w:rPr>
              <w:t xml:space="preserve">askaņā ar Atveseļošanas un noturības mehānisma plāna 1. pielikuma [...]</w:t>
            </w:r>
            <w:r w:rsidR="00000000" w:rsidRPr="00000000" w:rsidDel="00000000">
              <w:rPr>
                <w:rtl w:val="0"/>
              </w:rPr>
              <w:t xml:space="preserve"> Aicinām visur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anotācijas sadaļā (3) Inovāciju sistēmas pārvaldības modeļa iesaistīto institūciju un finansējuma saņēmēju pienākumi"  rindkopā (izkopēta zemāk) pārskatīt pieturzīmju lietojumu, pretējā gadījumā no teikuma nolasās, ka LIAA neveic RIS3 vadības grupu koordināciju (sadaļa sākas ar "vienlaikus" , kam seko "un").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Veicināt uzņēmumu un pētniecības un zināšanu izplatīšanas organizāciju iesaisti starptautiskās pētniecības un attīstības programmās un projektos, vienlaikus LIAA neveic atbalstāmās darbības uzņēmumu interesēs, atbalsts kurām kvalificējas kā komercdarbības atbalsts un koordinēt RIS3 vadības grupas darbu, tai skaitā, koordinēt RIS3 specializācijas jomas ilgtermiņa stratēģijas izstrādi ir atbildīga LIAA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Vienlaikus, ņemot vērā demarkāciju ar ANM investīcju 5.1.1.1.i., šī pasākuma īstenošanas uzsākšanas brīdī stratēģijas jau būs izstrādātas. Lūdzam pārskatīt rindkopas formulējumu attiecībā uz stratēģijas izstrādi, aizstājot to ar pilnveidi.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sadaļā risinājuma apraksts redakcionāli neskaidrs formulējums ir šai rindkopai: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RIS3 ekosistēmu ietvaros praksē tiks nodrošināts uzņēmējdarbības atklājumu princips</w:t>
            </w:r>
            <w:r w:rsidR="00000000" w:rsidRPr="00000000" w:rsidDel="00000000">
              <w:rPr>
                <w:rtl w:val="0"/>
              </w:rPr>
              <w:t xml:space="preserve">, </w:t>
            </w:r>
            <w:r w:rsidR="00000000" w:rsidRPr="00000000" w:rsidDel="00000000">
              <w:rPr>
                <w:i w:val="1"/>
                <w:rtl w:val="0"/>
              </w:rPr>
              <w:t xml:space="preserve">kā rezultātā nepieciešams turpināt Latvijas Atveseļošanas un noturības mehānisma plāna 5.1. reformu un investīciju virziena “Produktivitātes paaugstināšana caur investīciju apjoma palielināšanu P&amp;A” 5.1.1.r. reforma “Inovāciju pārvaldība un privāto P&amp;A investīciju motivācija” 5.1.1.1.i. investīcijas  “Pilnvērtīga inovāciju sistēmas pārvaldības modeļa izstrāde un tā nepārtraukta darbināšana” ietvaros RIS3 vērtības ķēžu (inovācijas klasteri) darbības pilnveide un no atbildīgā iestāde. </w:t>
            </w:r>
            <w:r w:rsidR="00000000" w:rsidRPr="00000000" w:rsidDel="00000000">
              <w:rPr>
                <w:rtl w:val="0"/>
              </w:rPr>
              <w:t xml:space="preserve">Aicinām EM to attiecīgi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Līdaka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anotācijā tiek pieminēti gala labuma guvēji, lūdzam skaidrot, vai šajos divos projektos ir paredzēti gala labuma guvēji un atbilstoši precizēt anotāciju, ja attiecināms, vai papildināt noteikumu projektu ar atbilstošām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Gundega Morgana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par tiešajām attiecināmajām izmaksām nav saprotams, par kādām darba samaksas izmaksām ir runa, ņemot vērā, ka jau augstāk tekstā ir minēts, ka personāla izmaksas tiks segtas atbilstoši atbildīgās iestādes apstiprinātajai vienkāršoto izmaksu metodikai.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"Komandējumu un darba braucienu izmaksas. Degvielas izmaksas vieglajam transportlīdzeklim un reģionālā sabiedriskā un vietējā sabiedriskā transporta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 norādīt arī vadošās iestādes metodiku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šajā rindkopā: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izmaksas (maksa par degvielu, transportlīdzekļu noma, transporta pakalpojumu pirkšana, maksa par sabiedriskā transporta izmantošanu), kas ir daļa no iekšzemes komandējumu vai darba braucienu izmaksām. Degvielas izmaksas vieglajam transportlīdzeklim un reģionālā sabiedriskā un vietējā sabiedriskā transporta izmaksas tiek segtas atbilstoši Finanšu ministrijas izstrādātajai metodikai "Vienas vienības izmaksu standarta likmes aprēķina un piemērošanas metodika iekšzemes komandējumu izmaksām darbības programmas "Izaugsme un nodarbinātība" un Eiropas Savienības kohēzijas politikas programmas 2021.–2027. gadam īstenošanai"." dzēst atsauci uz iekšzemes komandējuma metodiku, jo tā nav saistīta ar transporta izmaksām. Tā vietā norādīt vadošās iestādes metodiku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2.1.sadaļas apakšsadaļu "Juridiskās personas" ar norādi uz Ekonomikas ministriju un Latvijas Investīciju un attīstības aģentūru, savukārt atbilstošajā apakšsadaļā "Ietekmes apraksts" norādot, ka Ekonomikas ministrija pildīs atbildīgās iestādes un finansējuma saņēmēja funkcijas, un Latvijas Investīciju un attīstības aģentūra pildīs finansējuma saņēmēja funkcijas.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25.09.2023. 15.09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23-TA-2071</w:t>
    </w:r>
    <w:r>
      <w:br/>
    </w:r>
    <w:r w:rsidR="00000000" w:rsidRPr="00000000" w:rsidDel="00000000">
      <w:rPr>
        <w:rtl w:val="0"/>
      </w:rPr>
      <w:t xml:space="preserve">Izdrukāts 25.09.2023. 15.09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Atzinumi_23-TA-2071.docx</dc:title>
</cp:coreProperties>
</file>

<file path=docProps/custom.xml><?xml version="1.0" encoding="utf-8"?>
<Properties xmlns="http://schemas.openxmlformats.org/officeDocument/2006/custom-properties" xmlns:vt="http://schemas.openxmlformats.org/officeDocument/2006/docPropsVTypes"/>
</file>