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rtl w:val="0"/>
              </w:rPr>
              <w:t xml:space="preserve">​</w:t>
            </w:r>
            <w:r w:rsidR="00000000" w:rsidRPr="00000000" w:rsidDel="00000000">
              <w:rPr>
                <w:rtl w:val="0"/>
              </w:rPr>
              <w:t xml:space="preserve">Ja šā protokollēmuma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minētais maiņas līgums netiek noslēgts, Satiksmes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Precizētās anotācijas </w:t>
            </w:r>
            <w:r w:rsidR="00000000" w:rsidRPr="00000000" w:rsidDel="00000000">
              <w:rPr>
                <w:b w:val="1"/>
                <w:rtl w:val="0"/>
              </w:rPr>
              <w:t xml:space="preserve">"Problēmas aprakstā"</w:t>
            </w:r>
            <w:r w:rsidR="00000000" w:rsidRPr="00000000" w:rsidDel="00000000">
              <w:rPr>
                <w:rtl w:val="0"/>
              </w:rPr>
              <w:t xml:space="preserve"> norādīts, ka, tā kā Valsts īpašuma un Nekustamā īpašuma daļas tirgus vērtību starpība ir 13 382,54 EUR un pārsniedz Publiskas personas mantas atsavināšanas likuma 38. panta trešā daļā noteiktos 20 procentus, tika secināts, ka tie nav līdzvērtīgi. Tāpēc konkrētajā gadījumā netiek veikta publisko personu nekustamo īpašumu maiņa (Publiskas personas mantas atsavināšanas likuma 38. panta trešā daļa), bet tiek saskaņā ar Sabiedrības vajadzībām nepieciešamā nekustamā īpašuma atsavināšanas likuma  26. panta pirmo daļu veikta kompensācijas veida noteikšana par privātpersonai piederoša īpašuma atsavināšanu. </w:t>
            </w:r>
            <w:r w:rsidR="00000000" w:rsidRPr="00000000" w:rsidDel="00000000">
              <w:rPr>
                <w:u w:val="single"/>
                <w:rtl w:val="0"/>
              </w:rPr>
              <w:t xml:space="preserve">Ņemot vērā minēto, secināms, ka netiks slēgts attiecīgo nekustamo īpašumu maiņas līgums</w:t>
            </w:r>
            <w:r w:rsidR="00000000" w:rsidRPr="00000000" w:rsidDel="00000000">
              <w:rPr>
                <w:rtl w:val="0"/>
              </w:rPr>
              <w:t xml:space="preserve">. Tādējādi aicinām attiecīgi precizēt protokollēmuma projekta 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2024. gada 17. decembra rīkojums Nr. 1147 "Par nekustamā īpašuma "Voldemāri" Baldones pagastā, Ķekavas novadā, daļas pirkšanu projekta "Eiropas standarta platuma 1435 mm dzelzceļa līnijas izbūve "Rail Baltica" koridorā caur Igauniju, Latviju un Lietuvu”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13. punktā ietverto Tieslietu ministrijas priekšlikuma izvērtējumu, šobrīd spēkā esošo Ministru kabineta 2024. gada 17. decembra rīkojuma Nr. 1147 "Par nekustamā īpašuma "Voldemāri" Baldones pagastā, Ķekavas novadā, daļas pirkšanu projekta "Eiropas standarta platuma 1435 mm dzelzceļa līnijas izbūve "Rail Baltica" koridorā caur Igauniju, Latviju un Lietuvu” īstenošanai" nosaukumu un 1. punktu, kā arī precizētā rīkojuma projekta 2. un 3. punktu, aicinām attiecīgi precizēt rīkojuma projekta 1. punktu un grozāmā Ministru kabineta rīkojuma konsolidētās versijas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17. decembra rīkojums Nr. 1147 "Par nekustamā īpašuma "Voldemāri" Baldones pagastā, Ķekavas novadā, daļas </w:t>
            </w:r>
            <w:r w:rsidR="00000000" w:rsidRPr="00000000" w:rsidDel="00000000">
              <w:rPr>
                <w:u w:val="single"/>
                <w:rtl w:val="0"/>
              </w:rPr>
              <w:t xml:space="preserve">atsavināšanu</w:t>
            </w:r>
            <w:r w:rsidR="00000000" w:rsidRPr="00000000" w:rsidDel="00000000">
              <w:rPr>
                <w:rtl w:val="0"/>
              </w:rPr>
              <w:t xml:space="preserve">  projekta "Eiropas standarta platuma 1435 mm dzelzceļa līnijas izbūve "Rail Baltica" koridorā caur Igauniju, Latviju un Lietuvu”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šajā rīkojumā noteiktais maiņas līgums netiek noslēgts Satiksmes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Precizētās anotācijas </w:t>
            </w:r>
            <w:r w:rsidR="00000000" w:rsidRPr="00000000" w:rsidDel="00000000">
              <w:rPr>
                <w:b w:val="1"/>
                <w:rtl w:val="0"/>
              </w:rPr>
              <w:t xml:space="preserve">"Problēmas aprakstā"</w:t>
            </w:r>
            <w:r w:rsidR="00000000" w:rsidRPr="00000000" w:rsidDel="00000000">
              <w:rPr>
                <w:rtl w:val="0"/>
              </w:rPr>
              <w:t xml:space="preserve"> norādīts, ka, tā kā Valsts īpašuma un Nekustamā īpašuma daļas tirgus vērtību starpība ir 13 382,54 EUR un pārsniedz Publiskas personas mantas atsavināšanas likuma 38. panta trešā daļā noteiktos 20 procentus, tika secināts, ka tie nav līdzvērtīgi. Tāpēc konkrētajā gadījumā netiek veikta publisko personu nekustamo īpašumu maiņa (Publiskas personas mantas atsavināšanas likuma 38. panta trešā daļa), bet tiek saskaņā ar Sabiedrības vajadzībām nepieciešamā nekustamā īpašuma atsavināšanas likuma  26. panta pirmo daļu veikta kompensācijas veida noteikšana par privātpersonai piederoša īpašuma atsavināšanu. </w:t>
            </w:r>
            <w:r w:rsidR="00000000" w:rsidRPr="00000000" w:rsidDel="00000000">
              <w:rPr>
                <w:u w:val="single"/>
                <w:rtl w:val="0"/>
              </w:rPr>
              <w:t xml:space="preserve">Ņemot vērā minēto, secināms, ka netiks slēgts attiecīgo nekustamo īpašumu maiņas līgums</w:t>
            </w:r>
            <w:r w:rsidR="00000000" w:rsidRPr="00000000" w:rsidDel="00000000">
              <w:rPr>
                <w:rtl w:val="0"/>
              </w:rPr>
              <w:t xml:space="preserve">. Tādējādi aicinām attiecīgi precizēt rīkojuma projekta 7. punktu un grozāmā Ministru kabineta rīkojuma konsolidētās versijas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23.09.2025.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23.09.2025.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Atzinumi_25-TA-1291.docx</dc:title>
</cp:coreProperties>
</file>

<file path=docProps/custom.xml><?xml version="1.0" encoding="utf-8"?>
<Properties xmlns="http://schemas.openxmlformats.org/officeDocument/2006/custom-properties" xmlns:vt="http://schemas.openxmlformats.org/officeDocument/2006/docPropsVTypes"/>
</file>