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 konceptuālajam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iebilst konceptuālajā ziņojuma 20.punktā minētajam ierosinājumam ieviest speciālistu īstermiņa pārcelšanu no Satiksmes ministrijas uz FID. Lūdzam svītrot konceptuālā ziņojuma 20.punkta otro teikumu “Vienlaikus būtu jāvērtē, vai nepieciešams arī citu iestāžu, piemēram, Latvijas Bankas, Satiksmes ministrijas u.c. institūciju pārstāvju īstermiņa pārcelšanas uz FID”.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norādīts, ka funkcijas nodrošināšanai būtu jāveido 19 jaunas amata vietas, tostarp, 3 amata vietas atļauju sniegšanai, 5 amata vietas, t.sk. juristi, administratīvo aktu izstrādei, 5 amata vietas statistikas informācijas apkopošanai un sistēmiskai uzturēšanai un 3 amata vietas administratīvajam blokam, t.sk., 1 lietvedis un 2 IT speciālisti. Satiksmes ministrijai nav brīvu vakanču, kas atbilstu norādītajai amatu specifikai, nav. Nodarbinātie, kuru amatu pienākumos ietilpst arī sankciju jautājumi, pilda arī citus amata pienākumus, kurus amata vietas pārcelšanas gadījumā nebūtu kam nodrošināt. Satiksmes ministrijai, lai pilnvērtīgi varētu turpināt ministrijas funkciju nodrošināšanu, nav iespējas arī pārcelt nevienu lietveža, IT speciālista vai jurista  amata vietu. Turklāt jāņem vērā, ka lietveža, IT speciālista amata vietas ir darbinieka vietas, līdz ar to pārcelšana uz citu iestādi vispār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Koncepcijā nav paskaidrots kā notiks šī pārcelšana un uz kādu termiņu – kas ziņojuma izpratnē ir īstermiņa pārcelšana. Tāpat nav vērtētas juridiskās nianses kā plānota speciālistu pārcelšana, īpaši ņemot vērā faktu, ka daļa amata vietu var būt arī darbinieka amata vietas, kā arī šādas pārcelšanas lietderība un ieguvumi pretstatā kompetento iestāžu izsniegtiem atzinumiem vai ekspertīzēm.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FID funkciju var nodrošināt saņemot eksperta slēdzienu vai cita veida atzinumu no iestādēm, kuras kompetencē ietilpst minētais sankciju jautājums. Minētais risinājums norādīts ziņojuma 20.punkta ceturtajā teikumā, kurā norādīts, ka FID būtu jāparedz tiesības pieprasīt informāciju atbilstoši kompetencei no jebkuras valsts institūcijas par jautājumiem, kas ir konkrētās institūcijas kompetencē (piemēram, Klimata un enerģētikas ministrija, Valsts vides dienests, Civilās aviācijas aģentūra. u.tml.) Šādu risinājumu būtu jāattiecina arī uz citām iestādēm, tostarp, Satiksmes ministriju, kura būtu gatava sadarboties un sniegt nepieciešamo atbalstu FID.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nepieciešams sankciju kompetentās iestādes skaidrojums par konkrētu sankciju piemērošanu, piemērojot vienas kompetentās iestādes modeli, skaidrojums jāsniedz FID.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konceptuālā ziņojuma 11.lpp. otrās rindkopas trešo teikumu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šādam modelim FID kompetencē papildus atļauju izsniegšanai sankciju izņēmumu piemērošanai ietilptu arī (1) atbildēšana uz privātā sektora un valsts iestāžu jautājumiem par sankciju ieviešanu </w:t>
            </w:r>
            <w:r w:rsidR="00000000" w:rsidRPr="00000000" w:rsidDel="00000000">
              <w:rPr>
                <w:u w:val="single"/>
                <w:rtl w:val="0"/>
              </w:rPr>
              <w:t xml:space="preserve">un piemērošanu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Preču eksports un imports neaptver visas muitas kontrolē paredzētās darbības, tādas kā preču ievešana, izvešana, tranzīts, pārvietošana, uzglabāšana un galapatēriņš, kas paredzētas saskaņā Eiropas Parlamenta un Padomes 2013.gada 9.oktobra Regulas (ES) Nr. 952/2013, ar ko izveido Savienības Muitas kodeksu, 5. panta trešo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konceptuālā ziņojuma 11.lpp. pirmās rindkopas pēdējo teikumu jaunā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Muitas kontrolē paredzēto darbību gadījumā tā ir Valsts ieņēmumu dienesta Muitas pārvalde.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konceptuālajā ziņojumā ir norādīti tikai trīs rīcības modeļi, lūdzam atbilstoši precizēt konceptuālo ziņojumu, aizstājot vārdu "seši" (attiecīgā locījumā) ar vārdu "trīs"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