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vai ir izvērtēti alternatīvie risinājumi. Attiecīgā informācija projekta anotācijā šobrīd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2.1. sadaļu, sniedzot informāciju par sabiedrības grupām, kuras tiesiskais regulējums ietekmē, vai varētu ietekmēt, ņemot vērā to, ka projekts paredz izmaiņas tādai sabiedrības grupai kā - bezdarbnieki, darba meklētāji vai bezdarba riskam pakļautās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4. sadaļu, jo nav sniegta informācija, vai projektam ir ietekme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5.sadaļu atbilstoši TAP portāla funkcionalitātei.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6. sadaļā projekta autoram sākumā jāatzīmē, vai tiesību akta projektam ir jānodrošina sabiedrības līdzdalība. No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noteikumu projekts ietekmēs katru institūciju - Ekonomikas ministriju, Nodarbinātības valsts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