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 sadaļu ar skaidrojumu par Komisijas 2014. gada 27. jūnija Regulas (EK) Nr.717/2014 par Līguma par Eiropas Savienības darbību 107. un 108. panta piemērošanu de minimis atbalstam zvejniecības un akvakultūras nozarē 3. panta 2.a punktā ietverto prasību ieviešanu noteikumu projektā. Ņemot vērā, ka konkrētā regulas norma paredz rīcības brīvību, lūdzam 5.4. sadaļas 1. tabulā skaidrot attiecīgās rīcības brīvības būtību un pamatojumu tās izmantošanai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 Ja nomas līgumi noslēgti līdz šo noteikumu spēkā stāšanās dienai un tajos minēto nomas objektu iznomā saimnieciskai darbībai, nomnieks var pretendēt uz komercdarbības atbalstu un samazinātas nomas maksas piemērošanas gadījumā atbalsts nomniekam kvalificējams kā komercdarbības atbalsts, tad iznomātājs ievēro komercdarbības atbalsta kontroles regulējuma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Nomas līgumiem, kas noslēgti līdz šo noteikumu spēkā stāšanās dienai, piemērojami normatīvie akti, kas bija spēkā, slēdzot attiecīgo nomas līgumu. Iznomātājam ir tiesības pagarināt nomas līguma termiņu saskaņā ar šo noteikumu 18., 19., 20., 21. punktā minētajiem nosacījumiem. Ja nomas līgumi noslēgti līdz šo noteikumu spēkā stāšanās dienai un tajos minēto nomas objektu iznomā saimnieciskai darbībai, nomnieks var pretendēt uz komercdarbības atbalstu un attiecīgā samazinātas nomas maksas piemērošanas gadījumā ievēro komercdarbības atbalsta kontroles regulējuma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10.05.2024.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10.05.2024.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Atzinumi_24-TA-459.docx</dc:title>
</cp:coreProperties>
</file>

<file path=docProps/custom.xml><?xml version="1.0" encoding="utf-8"?>
<Properties xmlns="http://schemas.openxmlformats.org/officeDocument/2006/custom-properties" xmlns:vt="http://schemas.openxmlformats.org/officeDocument/2006/docPropsVTypes"/>
</file>