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w:t>
            </w:r>
            <w:r w:rsidR="00000000" w:rsidRPr="00000000" w:rsidDel="00000000">
              <w:rPr>
                <w:rtl w:val="0"/>
              </w:rPr>
              <w:t xml:space="preserve">11.</w:t>
            </w:r>
            <w:r w:rsidR="00000000" w:rsidRPr="00000000" w:rsidDel="00000000">
              <w:rPr>
                <w:rtl w:val="0"/>
              </w:rPr>
              <w:t xml:space="preserve"> punktā noteiktā pieejamā finansējuma ietvaros. Šo noteikumu </w:t>
            </w:r>
            <w:r w:rsidR="00000000" w:rsidRPr="00000000" w:rsidDel="00000000">
              <w:rPr>
                <w:rtl w:val="0"/>
              </w:rPr>
              <w:t xml:space="preserve">15.</w:t>
            </w:r>
            <w:r w:rsidR="00000000" w:rsidRPr="00000000" w:rsidDel="00000000">
              <w:rPr>
                <w:rtl w:val="0"/>
              </w:rPr>
              <w:t xml:space="preserve"> punktā noteiktais projekta iesniedzējs projekta iesniegumu iesniedz plānošanas reģionā, kurā ir saņēmis pašvaldības deleģējumu nodrošināt notekūdeņu dūņu apsaimniekošanas funkcijas notekūdeņu dūņu apsaimniekošanas reģionālā centrā (turpmāk- Dūņu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pirmās daļas 1. punkts noteic, ka pašvaldībai autonomā funkcija ir organizēt iedzīvotājiem ūdenssaimniecības pakalpojumus neatkarīgi no tā, kā īpašumā atrodas dzīvojamais fonds. Savukārt saskaņā ar Ūdenssaimniecības pakalpojuma likuma 6. panta pirmo daļu pašvaldības kompetence ir noteikt pašvaldības iestādi, kas pašvaldības administratīvajā teritorijā sniedz sabiedriskos ūdenssaimniecības pakalpojumus un citus noteikta veida ūdenssaimniecības pakalpojumus, vai pilnvarot komersantu vai kooperatīvo sabiedrību sniegt sabiedriskos ūdenssaimniecības pakalpojumus, noslēdzot ar to līgumu par sabiedrisko ūdenssaimniecības pakalpojumu sniegšanu visā pašvaldības administratīvajā teritorijā vai tās daļā. Atbilstoši Ūdenssaimniecības pakalpojuma likuma 1. panta 9. punktam sabiedriskie ūdenssaimniecības pakalpojumi ir pakalpojumi attīrīšanas procesā radušos notekūdeņu dūņu apstrādē, pārstrādē un sagatavošanā utilizācijai un notekūdeņu novadīšanā vidē, tai skaitā virszemes ūdensobjektos, izņemot notekūdeņu savākšanu lietus kanalizācijas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pašvaldība ar ūdenssaimniecības pakalpojuma sniedzēju slēdz sabiedrisko pakalpojumu līgumu, nevis pārvaldes uzdevuma deleģēšanas līgumu Valsts pārvaldes iekārtas likuma izpratnē. Tādējādi lūdzam ne vien precizēt Ministru kabineta noteikumu projekta12. punktu, bet arī šo noteikumu projekta 15., 16. un 47. punktu, kā arī lūdzam precizēt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Pakalpojuma vai deleģējuma līgumā, kas minēts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šajā normā paredzētās prasības sabiedriskā pakalpojuma līgumam neatbilst šo Ministru kabineta noteikumu izdošanas tiesiskajam pamatojumam, jo Ūdenssaimniecības pakalpojuma likums regulē ūdenssaimniecības pakalpojumus, kā arī Ūdenssaimniecības pakalpojuma likuma 6. panta ceturtās daļas 3. punkts noteic, ka vietējās pašvaldības dome izdod saistošos noteikumus, kuros paredz sabiedriskā ūdenssaimniecības pakalpojuma līgumā ietveramos noteikumus, kā arī tā slēgšanas, grozīšanas un izbeigšanas noteikumus. Ievērojot minēto, lūdzam svītrot Ministru kabineta noteikumu projekta 17. punktu, kā arī precizēt šo noteikumu projekta 24.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27.06.2025.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27.06.2025.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