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Nacionālo bruņoto spēku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Nacionālo bruņoto spēku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Nacionālo bruņoto spēku likumā paredzēt tiesisko regulējumu, kas nosaka Nacionālo bruņoto spēku lomu un atbildību kritiskās infrastruktūras aizsardzībā un tās darbības nepārtrauktības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piemēram, ņemot vērā AS "Latvenergo" un AS "RĪGAS SILTUMS" stratēģisko nozīmi valsts energoapgādē, ir būtiski garantēt to kritiskās infrastruktūras drošību un nepārtrauktu darbību. Šo infrastruktūru var apdraudēt mūsdienu tehnoloģiskie riski, piemēram, dronu izmantošana, kas īpaši aktuāli kļūst pēc elektroapgādes desinhronizācijas no Krievijas kontrolētās BRELL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nolūkam piedāvājam Nacionālo bruņoto spēku likumu papildināt ar jaunu 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x. pants. Nacionālo bruņoto spēku loma kritiskās infrastruktūras drošības un darbības nepārtrauktības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Nacionālie bruņotie spēki piedalās valsts kritiskās infrastruktūras, tostarp energoapgādes objektu, aizsardzībā un to darbības nepārtrauktības nodrošināšanā, sadarbojoties ar attiecīgajām valsts institūcijām un infrastruktūras pārvaldītājiem.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Nacionālie bruņotie spēki, sadarbībā ar atbildīgajām valsts drošības iestādēm un infrastruktūras pārvaldītājiem, veic pasākumus, lai novērstu un mazinātu apdraudējumus, kas saistīti ar modernajām tehnoloģijām, tostarp bezpilota ūdens, sauszemes un gaisa kuģu (dronu) izmantošanu pret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14.02.2025.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24-TA-1826</w:t>
    </w:r>
    <w:r>
      <w:br/>
    </w:r>
    <w:r w:rsidR="00000000" w:rsidRPr="00000000" w:rsidDel="00000000">
      <w:rPr>
        <w:rtl w:val="0"/>
      </w:rPr>
      <w:t xml:space="preserve">Izdrukāts 14.02.2025.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Atzinumi_24-TA-1826.docx</dc:title>
</cp:coreProperties>
</file>

<file path=docProps/custom.xml><?xml version="1.0" encoding="utf-8"?>
<Properties xmlns="http://schemas.openxmlformats.org/officeDocument/2006/custom-properties" xmlns:vt="http://schemas.openxmlformats.org/officeDocument/2006/docPropsVTypes"/>
</file>