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aviācijas darbību dalību Eiropas Savienības emisijas kvotu tirdzniecības sistēmā un starptautiskās aviācijas oglekļa dioksīda kompensēšanas un samazināšanas shēmā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ikgadējais emisiju ziņojums, ko gaisa kuģa operators iesniedzis saskaņā ar likuma "Par piesārņojumu" 32.</w:t>
            </w:r>
            <w:r w:rsidR="00000000" w:rsidRPr="00000000" w:rsidDel="00000000">
              <w:rPr>
                <w:vertAlign w:val="superscript"/>
                <w:rtl w:val="0"/>
              </w:rPr>
              <w:t xml:space="preserve">21</w:t>
            </w:r>
            <w:r w:rsidR="00000000" w:rsidRPr="00000000" w:rsidDel="00000000">
              <w:rPr>
                <w:rtl w:val="0"/>
              </w:rPr>
              <w:t xml:space="preserve"> punkta sesto daļu, līdz 31.martam nav apstiprināts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 kārtībā, Civilās aviācijas aģentūra tā paša gada 1.aprīlī vai nākamajā darbdienā pēc tā paša gada 1.aprīļa par attiecīgo gaisa kuģa operatoru informē valsts sabiedrību ar ierobežotu atbildību "Latvijas Vides, ģeoloģijas un meteoroloģijas centrs", kas saskaņā ar likuma "Par piesārņojumu" 32.</w:t>
            </w:r>
            <w:r w:rsidR="00000000" w:rsidRPr="00000000" w:rsidDel="00000000">
              <w:rPr>
                <w:vertAlign w:val="superscript"/>
                <w:rtl w:val="0"/>
              </w:rPr>
              <w:t xml:space="preserve">29</w:t>
            </w:r>
            <w:r w:rsidR="00000000" w:rsidRPr="00000000" w:rsidDel="00000000">
              <w:rPr>
                <w:rtl w:val="0"/>
              </w:rPr>
              <w:t xml:space="preserve"> panta ceturto daļu ir emisiju reģistra valsts administrators (turpmāk – valsts administrators).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20. punktu, norādot, ka sabiedrību ar ierobežotu atbildību "Latvijas Vides, ģeoloģijas un meteoroloģijas centrs" ir valsts administrators saskaņā ar likuma "Par piesārņojumu" 32.</w:t>
            </w:r>
            <w:r w:rsidR="00000000" w:rsidRPr="00000000" w:rsidDel="00000000">
              <w:rPr>
                <w:vertAlign w:val="superscript"/>
                <w:rtl w:val="0"/>
              </w:rPr>
              <w:t xml:space="preserve">29</w:t>
            </w:r>
            <w:r w:rsidR="00000000" w:rsidRPr="00000000" w:rsidDel="00000000">
              <w:rPr>
                <w:rtl w:val="0"/>
              </w:rPr>
              <w:t xml:space="preserve"> punkta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Gaisa kuģa operatoram nav pienākums nodot emisijas kvotas saskaņā ar likuma “Par piesārņojumu” 32.</w:t>
            </w:r>
            <w:r w:rsidR="00000000" w:rsidRPr="00000000" w:rsidDel="00000000">
              <w:rPr>
                <w:vertAlign w:val="superscript"/>
                <w:rtl w:val="0"/>
              </w:rPr>
              <w:t xml:space="preserve">27</w:t>
            </w:r>
            <w:r w:rsidR="00000000" w:rsidRPr="00000000" w:rsidDel="00000000">
              <w:rPr>
                <w:rtl w:val="0"/>
              </w:rPr>
              <w:t xml:space="preserve"> panta ceturto daļu attiecībā uz emisijām lidojumos no un uz valstīm, ko Apvienoto Nāciju Organizācija definējusi kā vismazāk attīstītās valstis un mazās salu jaunattīstības valstis, izņemot tās, kuras iekļautas CORSIA piemērojošo valstu sarakstā</w:t>
            </w:r>
            <w:r w:rsidR="00000000" w:rsidRPr="00000000" w:rsidDel="00000000">
              <w:rPr>
                <w:b w:val="1"/>
                <w:rtl w:val="0"/>
              </w:rPr>
              <w:t xml:space="preserve">,</w:t>
            </w:r>
            <w:r w:rsidR="00000000" w:rsidRPr="00000000" w:rsidDel="00000000">
              <w:rPr>
                <w:rtl w:val="0"/>
              </w:rPr>
              <w:t xml:space="preserve"> un tās valstis, kuru iekšzemes kopprodukts uz vienu iedzīvotāju ir vienāds ar vai lielāks par Eiropas Savienības vidējo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punkts ietver atsauci uz Apvienoto Nāciju Organizācija (turpmāk - ANO) vismazāk attīstīto valstu un mazo salu jaunattīstības valstu sarakstu, kā arī, CORSIA piemērojošo valstu sarakstu. Saistībā ar minēto atkārtoti aicinām noteikumu projekta anotācijā skaidrot abu minēto sarakstu pieejamību un saistošo spēku.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CORSIA piemērojošo valstu saraksts tiek noteikts ar Komisijas Īstenošanas regulām, ierosinām papildināt noteikumu projektu ar atsauci uz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ANO valstu sarakstu ierosinām to nepieciešamības gadījumā pārņemt noteikumu projekta pielikumā vai paredzēt uzdevumu atbildīgajai ministrijai publicēt to oficiālajā izdevumā "Latvijas Vēstnesis" saskaņā ar Oficiālo publikācijas un tiesiskā informācijas likuma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24.02.2026.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24.02.2026.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Atzinumi_24-TA-904.docx</dc:title>
</cp:coreProperties>
</file>

<file path=docProps/custom.xml><?xml version="1.0" encoding="utf-8"?>
<Properties xmlns="http://schemas.openxmlformats.org/officeDocument/2006/custom-properties" xmlns:vt="http://schemas.openxmlformats.org/officeDocument/2006/docPropsVTypes"/>
</file>