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termiņu, cik ilgi amatpersonām aprēķinātais atalgojums ir publiskots iestādes tīmekļvietnē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32.panta pirmā daļa nosaka, ka valsts pārvaldē amatpersonas iekļautas vienotā hierarhiskā sistēmā, kurā viena amatpersona ir padota citai amatpersonai. Minētā likuma 66.panta pirmā daļa nosaka, ka pārbaudes lēmuma tiesiskuma iepriekšēju pārbaudi veic gan tā pieņēmējs (pamatpārbaude), gan īpaša iestādes struktūrvienība vai amatpersona (papildpārbaude). Ņemot vērā minēto, lūgums precizēt noteikumu projekta anotācijas 1.3. apakšpunktu, papildinot skaidrojumu par amatpersonu uzskaitījumu, uz kurām attiecas un neattiecas Valsts pārvaldes iekārtas likuma 92.panta otrajā daļā ietvertais regulējums, piemēram, vai aprēķinātais atalgojums publicējams arī par amatpersonām, kas veic pārvaldes lēmuma papildpārbaudi.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Kristine Rimša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05.02.2025.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05.02.2025.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Atzinumi_25-TA-194.docx</dc:title>
</cp:coreProperties>
</file>

<file path=docProps/custom.xml><?xml version="1.0" encoding="utf-8"?>
<Properties xmlns="http://schemas.openxmlformats.org/officeDocument/2006/custom-properties" xmlns:vt="http://schemas.openxmlformats.org/officeDocument/2006/docPropsVTypes"/>
</file>