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pilnvērtīgu finansiālo un ekonomisko pamatojumu, nepieciešams papildināt likumprojekta anotāciju ar skaidrojumu, kāpēc alternatīvie risinājumi netika izvērtēti, kā arī apsvērt to izvērtēšanu, tostarp tādu risinājumu, kas nodrošinātu līdzvērtīgu mērķa sasniegšanu ar mazāku slogu uzņēmējiem. Papildus nepieciešams detalizētāk pamatot likumprojekta paredzēto izmaiņu ekonomisko ietekmi un to ietekmi uz uzņēmējdarbības vidi, tostarp uz ražošanas izmaksām un konkurētspēju. Informējam, ka ņemot vērā uzņēmēju organizāciju iebildumus, sākotnēji iesniegtais priekšlikums tiek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Miķelsons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