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11. februāra noteikumos Nr. 92 "Starptautiskās kravu loģistikas un ostu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skaidrojumu anotācijas 1.3. apakšsadaļā, nodrošinot tiesību normu adresātiem pilnīgu un precīzu izpratni par projekta atbilstību Eiropas Savienības tiesību aktiem un to ieviešanu projektā. Piemēram, norādot, ka "</w:t>
            </w:r>
            <w:r w:rsidR="00000000" w:rsidRPr="00000000" w:rsidDel="00000000">
              <w:rPr>
                <w:i w:val="1"/>
                <w:rtl w:val="0"/>
              </w:rPr>
              <w:t xml:space="preserve">Visu EMSWe lietotāju autorizācija, tajā skaitā Regulas (ES) Nr. 952/2013 6. panta 1. punktā minētās elektroniskās datu apstrādes metodes, būs iespējamas tikai pēc atbilstošas funkcionalitātes izstrādes SKLOIS, kas tiks nodrošināta projekta “Eiropas Jūras vienloga sistēmas EMSWe ieviešana” ietvaros</w:t>
            </w:r>
            <w:r w:rsidR="00000000" w:rsidRPr="00000000" w:rsidDel="00000000">
              <w:rPr>
                <w:rtl w:val="0"/>
              </w:rPr>
              <w:t xml:space="preserve">", iesakām skaidrot, vai un kā tas praktiski ietekmē no nacionālajām un Eiropas Savienības tiesību normām izrietošo tiesību un pienākumu realizēšanu.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ņemot vērā veiktos precizējumus projektā un anotācijā.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skaidrojumu "</w:t>
            </w:r>
            <w:r w:rsidR="00000000" w:rsidRPr="00000000" w:rsidDel="00000000">
              <w:rPr>
                <w:i w:val="1"/>
                <w:rtl w:val="0"/>
              </w:rPr>
              <w:t xml:space="preserve">Ievērojot iepriekš minēto, kā arī Regulas (ES) 2019/1239 9.pantu,[..], ir plānots atteikties no vienošanās par elektroniskā dokumenta parakstīšanu ar elektronisko parakstu. Atbilstoši ir jāprecizē Noteikumu Nr. 92 5. punkts</w:t>
            </w:r>
            <w:r w:rsidR="00000000" w:rsidRPr="00000000" w:rsidDel="00000000">
              <w:rPr>
                <w:rtl w:val="0"/>
              </w:rPr>
              <w:t xml:space="preserve">",  projekta 1.2. apakšpunkts ievieš Eiropas Parlamenta un Padomes 2019. gada 20. jūnija Regulas (ES) 2019/1239, ar ko izveido Eiropas Jūras vienloga sistēmas vidi un ar ko atceļ Direktīvu 2010/65/ES (turpmāk - Regula 2019/1239) 9. panta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projekta redakcijai tā 1.17. apakšpunkts ievieš Regulas 2019/1239 2. panta 11., 13. un 15.punktu. Iesakām izvērtēt arī iespējamo Regulas 2019/1239 5. panta 4. punkta ieviešanu projekta 1.14. un 1.15.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vai tiek ieviestas visas regulu tiesību normas, kas uzliek pienākumus dalībvalstīm. Pretēji skaidrojumiem izziņas 2. punktā regulas 2019/1239 5. panta 9. punkts, kas noteic, ka “</w:t>
            </w:r>
            <w:r w:rsidR="00000000" w:rsidRPr="00000000" w:rsidDel="00000000">
              <w:rPr>
                <w:i w:val="1"/>
                <w:u w:val="single"/>
                <w:rtl w:val="0"/>
              </w:rPr>
              <w:t xml:space="preserve">Valsts</w:t>
            </w:r>
            <w:r w:rsidR="00000000" w:rsidRPr="00000000" w:rsidDel="00000000">
              <w:rPr>
                <w:i w:val="1"/>
                <w:rtl w:val="0"/>
              </w:rPr>
              <w:t xml:space="preserve"> jūras vienloga sistēmai ir vienota interneta adrese</w:t>
            </w:r>
            <w:r w:rsidR="00000000" w:rsidRPr="00000000" w:rsidDel="00000000">
              <w:rPr>
                <w:rtl w:val="0"/>
              </w:rPr>
              <w:t xml:space="preserve">” neparedz kompetenci Eiropas Komisijai, bet pienākumu dalībvalstij. Attiecīgi nevar būt, ka minētais dalībvalsts pienākums tiek izpildīts no Komisijas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atkārtoti lūdzam pārliecināties, ka regulu ieviešana atspoguļota precīzi, piemēram, izvērtēt un skaidrot, kā tieši projekta 1.9. apakšpunkts, kur noteikts, ka autorizēts sistēmas lietotājs ir arī datu pakalpojumu sniedzējs, ievieš Regulas 2019/1239 7. panta 1. punktu, kur deklarētājiem tiek ļauts "</w:t>
            </w:r>
            <w:r w:rsidR="00000000" w:rsidRPr="00000000" w:rsidDel="00000000">
              <w:rPr>
                <w:i w:val="1"/>
                <w:rtl w:val="0"/>
              </w:rPr>
              <w:t xml:space="preserve">brīvprātīgi sniegt informāciju valsts jūras vienloga sistēmai ar datu pakalpojumu sniedzēju starpniecību, kas atbilst saskaņoto ziņošanas saskarņu moduļa prasībām</w:t>
            </w:r>
            <w:r w:rsidR="00000000" w:rsidRPr="00000000" w:rsidDel="00000000">
              <w:rPr>
                <w:rtl w:val="0"/>
              </w:rPr>
              <w:t xml:space="preserve">". Atbilstoši izziņas 2. punkta skaidrojumiem, ir veikti labojumi, bet tie nav konstatējami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datu subjektam būtu saprotama un pārredzama personas datu apstrāde, aicinām papildināt anotācijas 8.1.13.apakšpunktu, norādot plānotos apstrādājamos personas datu veidus, piemēram, par sistēmas lietotāju tiks apstrādāts tā vārds,uzvārds, e-pasta adrese u.tt. Savukārt attiecībā uz projekta 6.5.apakšpunkta ietvaros plānoto personas datu apstrādi, aicinām anotācijā ietvert informāciju no projekta izziņas, kurā piemēru veidā tika iekļauti visbiežāk apstrādājamie personas dati (kuru apstrādi paredz citi normatīvie akti).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Autorizētos sistēmas lietotājus reģistrē Eiropas Jūras vienloga sistēmas vides (EMSWe) lietotāju reģistra un piekļuves pārvaldības sistēmā. Sistēmā iekļautā informācija autorizētajiem sistēmas lietotājiem ir pieejama tādā apjomā, lai autorizētie sistēmas lietotāji varētu veikt datu apriti saistībā ar ziņošanas pienākumiem, kuri jāizpilda kuģiem, piestājot Eiropas Savienības ostās, vai atbilstoši autorizētajam sistēmas lietotājam tiesību aktos noteiktajām tiesībām un pienākumiem veicot kuģa apgādi muitošanas kārtības nodrošināšanai, aprēķinot maksu par navigācijas pakalpojumiem vai kuģu, ostu un ostu iekārtu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atsauci uz normatīvajiem aktiem, atbilstoši Ministru kabineta 2009. gada 3. februāra noteikumu Nr. 108 "Normatīvo aktu projektu sagatavošanas noteikumi” 137. punktam. Alternatīvi iesakām anotācijas 1.3. apakšsadaļā, skaidrojot projekta 1.15. apakšpunktu, precīzāk norādīt uz tiesību aktiem, kas saistīti ar konkrēto projekta vienību, nodrošinot tiesību normu adresātiem precīzāku izpratni par attiecināmajiem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25-TA-1087</w:t>
    </w:r>
    <w:r>
      <w:br/>
    </w:r>
    <w:r w:rsidR="00000000" w:rsidRPr="00000000" w:rsidDel="00000000">
      <w:rPr>
        <w:rtl w:val="0"/>
      </w:rPr>
      <w:t xml:space="preserve">Izdrukāts 04.09.2025.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25-TA-1087</w:t>
    </w:r>
    <w:r>
      <w:br/>
    </w:r>
    <w:r w:rsidR="00000000" w:rsidRPr="00000000" w:rsidDel="00000000">
      <w:rPr>
        <w:rtl w:val="0"/>
      </w:rPr>
      <w:t xml:space="preserve">Izdrukāts 04.09.2025.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Atzinumi_25-TA-1087.docx</dc:title>
</cp:coreProperties>
</file>

<file path=docProps/custom.xml><?xml version="1.0" encoding="utf-8"?>
<Properties xmlns="http://schemas.openxmlformats.org/officeDocument/2006/custom-properties" xmlns:vt="http://schemas.openxmlformats.org/officeDocument/2006/docPropsVTypes"/>
</file>