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2020-TA-2620: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Sugu un biotopu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22.02.2021)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anotāciju ieteicams papildināt, iekļaujot pilnvērtīgu, sistēmisku un viegli uztveramu administratīvās atbildības kritēriju izvērtējumu par katru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vismaz šādu administratīvās atbildības nepieciešamības un pieļaujamības kritēriju izvērtējums atbilstoši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(Māliņa I. Jaunu administratīvo pārkāpumu sastāvu veidošana. Grām.: Administratīvo pārkāpumu tiesības. Administratīvās atbildības likuma skaidrojumi. Sagatavojis autoru kolektīvs. E. Danovska un G. Kūtra zinātniskajā redakcijā. Rīga: Tiesu namu aģentūra, 2020, 55. lpp.). Latvijā valsts pārvaldei ir raksturīgi meklēt iespēju personu sodīt par pienākumu nepildīšanu, bet nereti netiek saskatīta iespēja panākt pienākumu izpildi ar administratīvā procesa līdzekļiem (Laveniece-Straupmane N., Briede J., Liholaja V., Judins A., Ziemane I. Ārkārtējā situācija: juristu viedokļi par tiesisko regulējumu un tā piemērošanu. Jurista Vārds, 17.03.2020., Nr. 11).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(Māliņa I. Jaunu administratīvo pārkāpumu sastāvu veidošana. Grām.: Administratīvo pārkāpumu tiesības. Administratīvās atbildības likuma skaidrojumi. Sagatavojis autoru kolektīvs. E. Danovska un G. Kūtra zinātniskajā redakcijā. Rīga: Tiesu namu aģentūra, 2020, 57.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(Māliņa I. Jaunu administratīvo pārkāpumu sastāvu veidošana. Grām.: Administratīvo pārkāpumu tiesības. Administratīvās atbildības likuma skaidrojumi. Sagatavojis autoru kolektīvs. E. Danovska un G. Kūtra zinātniskajā redakcijā. Rīga: Tiesu namu aģentūra, 2020, 57.-58.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25.05.2023.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25.05.2023.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Atzinumi_2020-TA-2620.docx</dc:title>
</cp:coreProperties>
</file>

<file path=docProps/custom.xml><?xml version="1.0" encoding="utf-8"?>
<Properties xmlns="http://schemas.openxmlformats.org/officeDocument/2006/custom-properties" xmlns:vt="http://schemas.openxmlformats.org/officeDocument/2006/docPropsVTypes"/>
</file>