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Gada pārskatu vai konsolidēto gada pārskatu un citus normatīvajos aktos noteiktos finanšu pārskatus par pēdējo periodu pirms Pakalpojumu saņemšanas Valsts kasē sagatavo Pakalpojumu saņēmējs vai Valsts kase, gadījumā, ja uz Valsts kasi pārnāk Pakalpojumu saņēmēja attiecīgās jomas kompetentie nodarbinātie un Pakalpojumu saņēmējs ir noslēdzis vienošanos par gada pārskata sagatavošanu ar Valsts kasi.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pret noteikumu projekta tālāku virzību. Ņemot vērā iebildumu saskaņošanas sanāksmē panākto vienošanos, aicinām Valsts kasi oktobrī sarunā informēt Valsts kontroli par progresu, kā tiek mazināti riski attiecībā uz savlaicīgu un kvalitatīvu gada pārskatu sagatavošanu par 2024.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Tripane (LRVK)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13.09.2024.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13.09.2024.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Atzinumi_24-TA-622.docx</dc:title>
</cp:coreProperties>
</file>

<file path=docProps/custom.xml><?xml version="1.0" encoding="utf-8"?>
<Properties xmlns="http://schemas.openxmlformats.org/officeDocument/2006/custom-properties" xmlns:vt="http://schemas.openxmlformats.org/officeDocument/2006/docPropsVTypes"/>
</file>