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investīcijas mērķa grupa ir mājsaimniecības, uzņēmumi, skolas, slimnīcas un citas sabiedriskās ēkas.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pielikuma „Projektu iesniegumu vērtēšanas kritēriji un to piemērošanas skaidrojumi” 1.11.apakšpunktā dotā kritērija izriet, ka plānošanas reģioni nosaka objektus, kur obligāti ierīkojums augstas veiktspējas elektronisko sakaru tīkls. Ievērojot minēto, lūdzam papildināt tiesību akta projektu ar nosacījumiem kādos plānošanas reģioni nosaka šādus obligātos (prioritāros)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procesā digitāli mācību līdzekļi un rīki, kā arī mācīšanās tiešsaistē un attālināti kļūs par arvien ierastāku (ikdienas) praksi, tad aicinām par šādiem prioritāri nosakāmiem objektiem noteikt izglītības iestādes, kur nav pieejams šāds augstas veiktspējas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Lore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investīcijas mērķa grupa ir mājsaimniecības, uzņēmumi, skolas, slimnīcas un citas sabiedriskās ēkas.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tiesību akta projekta tekstā, kā arī tā anotācijā, terminu „skolas” aizstāt ar terminu „izglītības iestādes”, ievērojot Izglītības likuma 1.panta septītajā daļā doto  termina „izglītības iestāde”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Lore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piemēram, uzņēmumiem, kas intensīvi izmanto digitālos resursus, skolām, slimnīcām un publiskās pārvaldes iestādēm, ir jābūt iespējai izmantot gigabitu savienojamību (lejupielādes un augšupielādes ātrums vismaz 1 Gbit/s).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"piemēram".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piemēram, uzņēmumiem, kas intensīvi izmanto digitālos resursus, skolām, slimnīcām un publiskās pārvaldes iestādēm, ir jābūt iespējai izmantot gigabitu savienojamību (lejupielādes un augšupielādes ātrums vismaz 1 Gbit/s).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12.2. apakšpunktu, kurā ir minēts, ka skolām, slimnīcām un publiskās pārvaldes iestādēm ir jābūt iespējai izmantot gigabitu savienojamību (lejupielādes un augšupielādes ātrums vismaz 1 Gbit/s), lūdzam pārskatīt un precizēt 1.12. atbilstības kritēriju "Projekta iesniegumā aprakstītais tehnoloģiskais risinājums paredz, ka elektronisko sakaru tīkls var nodrošināt lejupielādes un augšupielādes ātrumu vismaz 100 Mbit/s. (P)". Papildu, nepieciešamības gadījumā lūdzam precizēt 2.4. kvalitātes kritēriju "Tīkla veiktspēja, t.sk. attiecībā uz lejupielādes un augšupielādes ātrumu interneta piekļuves pakalpojumam galalietotājam".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informāciju kā tiks nodrošināta sinerģija ar Izglītības un zinātnes ministrijas pārziņā esošo Atveseļošanās un noturības mehānisma fonda 2.3.2.3.i. investīciju „Digitālās plaisas mazināšana sociāli neaizsargātajām grupām un izglītības iestādēs” (Tiesību akta lietas ID 22-TA-2260), kuras ietvaros plānots nodrošināt datu pārraides pieejamību kvalitatīvai, jēgpilnai un plānveidīgai digitālo tehnoloģiju izmantošanai mācību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informāciju par atsaites punkta "līdz 2020. gada 31. decembrim Satiksmes ministrijai nodrošināt vienota modeļa pieņemšanu ''pēdējās jūdzes'' attīstībai" izpildes progresu, ņemot vērā, ka izpildes termiņš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investīcijas mērķa grupa ir mājsaimniecības, uzņēmumi, skolas, slimnīcas un citas sabiedriskās ēkas.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Izglītības un zinātnes ministrijas iebildumu par nepieciešamību aizstāt vārdu "skolas" ar vārdiem "izglītības iestādes", ievērojot Izglītības likuma 1.panta septīto daļu, lūdzam papildināt anotāciju ar informāciju par izglītības pakāpi un veidu saskaņā ar Izglītības likuma 5. un 6. pantu, kuri īstenojami atbalstāmajās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to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Ministru kabineta noteikumu projekts būtu papildināms ar informāciju par attiecināmo izmaksu pozīcijām un informāciju par Pievienotās vērtības nodokļa segšanu, ņemot vērā, ka no projekta pielikuma „Projektu iesniegumu vērtēšanas kritēriji un to piemērošanas skaidrojumi” 1.7.apakšpunktā dotā kritērija "Projekta iesniegumā iekļautās kopējās attiecināmās izmaksas un izmaksu pozīcijas atbilst šajos MK noteiktajam un nodrošina projektā izvirzītā mērķa un rādītāju sasniegšanu. (P)" izriet vērtēt "PIV noradītās plānotās izmaksas saturiski atbilst MK noteikumos noteiktajām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Feifere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atbalsta ieviešanu nodrošinās viens vai vairāki finansējuma saņemēji.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Evelina Bole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