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izdots saskaņā ar Valsts informācijas sistēmu likuma 4. panta otro daļu. Savukārt Noteikumu 3. punkts paredz, ka tie attiecas arī uz “atvasinātām publiskām personām un to iestādēm”, neizdalot no tvēruma pašvaldību iekšējai funkciju izpildei paredzētās informācijas sistēmas. Tomēr Valsts informācijas sistēmu likuma 3. panta ceturtā daļa izslēdz informācijas sistēmas, ko valsts un pašvaldību institūcijas veido un uztur iekšējās lietošanas apritei, savukārt likuma 1. pantā ietvertā “valsts informācijas sistēmas” definīcija primāri saistīta ar valsts pārvaldes funkciju nodrošināšanu, nevis ar pašvaldību autonomo funkciju izpildi. Likuma 4. panta otrā daļa turklāt pilnvaro Ministru kabinetu noteikt IKT resursu attīstības aktivitāšu un likvidēšanas uzraudzības kārtību un vispārējās tehniskās un drošības prasības, tātad uzraudzības funkcijas, nevis iepriekšējas saskaņošanas vai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ieviešot pienākumu reģistrēt aktivitātes VIRSIS pirms to uzsākšanas (24., 28. punkts), aizliegumu uzsākt iepirkuma procedūru pirms aktivitātes saskaņošanas (48. punkts) un VARAM/Valsts digitālo investīciju komisijas saistošu atzinumu kā priekšnosacījumu (42., 44.–45. punkts), pēc būtības ievieš iepriekšējas atļaušanas (licencēšanas), nevis uzraudzības mehānismu, un to attiecina arī uz pašvaldībām, lai gan pamatlikums šādu pilnvarojumu attiecībā uz pašvaldību funkciju izpildei paredzētām sistēmām nedod. LPS ieskatā šāda regulējuma attiecināšana uz pašvaldībām pārsniedz Ministru kabinetam doto pilnvarojumu un neatbilst Valsts pārvaldes iekārtas likuma 15. panta prasībai, ka ārējo normatīvo aktu var izdot tikai uz likumā tieši noteikta pilnvarojuma pamata un tā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 3. un/vai 4. punktu ar skaidru norādi, ka attiecībā uz pašvaldībām un to iestādēm Noteikumi piemērojami tikai tiktāl, ciktāl tas tieši un nepārprotami izriet no Valsts informācijas sistēmu likuma un, ka uz pašvaldību autonomo funkciju izpildei paredzētu IKT resursu attīstību Noteikumi neattiecas kā uz obligātu saskaņošanas priekšnosacījumu.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