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Eiropas Parlamenta un Padomes (ES) 2020. gada 16. decembra direktīvā 2020/2184 par dzeramā ūdens kvalitāti noteikto prasību ietekmi uz dzeramā ūdens auditmonitoringa procesu”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(ES) 2020. gada 16. decembra direktīvā 2020/2184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apakšpunktā “Dzeramā ūdens nekaitīguma un kvalitātes uzraudzībai tiek veikts auditmonitorings un kārtējais monitorings”, lūdzam svītrot teikumu “Zemkopības ministrijas kompetencē ir pārtikas apriti reglamentējošo normatīvo aktu izstrāde”, jo ziņojuma esošajā redakcijā tiek norādītas tikai vienas ministrijas kompetences, vienlaicīgi neminot citu iesaistīto ministriju –  Veselības ministrijas, Vides aizsardzības un reģionālās attīstības ministrijas kompetences. Vai arī lūdzam papildināt Konceptuālo ziņojumu ar citu ministriju kompetences jomām, jo Konceptuālajā ziņojumā ir minētas citu ministriju  padotības iestādes, piemēram,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20.01.2023.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20.01.2023.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Atzinumi_22-TA-2903.docx</dc:title>
</cp:coreProperties>
</file>

<file path=docProps/custom.xml><?xml version="1.0" encoding="utf-8"?>
<Properties xmlns="http://schemas.openxmlformats.org/officeDocument/2006/custom-properties" xmlns:vt="http://schemas.openxmlformats.org/officeDocument/2006/docPropsVTypes"/>
</file>