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11.08.2020.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14.08.2020.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13.08.2020.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13.08.2020.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14.08.2020.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01.09.2020.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12.08.2020.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21.01.2022.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20.01.2022.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20.01.2022.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18.01.2022.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09.04.2021.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08.04.2021.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07.04.2021.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06.04.2021.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(LTRK 21.01.2022.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20.01.2022.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13.01.2022.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19.01.2022.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19.01.2022.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(LM 22.01.2022.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11.01.2021.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08.01.2021.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07.01.2021.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06.01.2021.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24.09.2020.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23.09.2020.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23.09.2020.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22.09.2020.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31.08.2022.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01.09.2022.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(PTAC 01.09.2022.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01.09.2022.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02.09.2022.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02.09.2022.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08.09.2022.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25.10.2022.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25.10.2022.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26.10.2022.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27.10.2022.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27.10.2022.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(LPABA 03.11.2022.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(LABA 27.10.2022.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(KP 05.12.2022.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(DVI 06.12.2022.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(LM 08.12.2022.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(FKTK 08.12.2022.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(EM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(TM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(LPABA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(LABA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(LTAB 09.12.2022.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(IEM 21.01.2022.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(VARAM 21.02.2022.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 par atzinumos sniegtajiem iebildumiem par likumprojektu „Grozījumi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28.pants. Izdevumi sakarā ar transportlīdzekļa vai tā atlieku evakuāciju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pēc ceļu satiksmes negadījuma nav iespējama transportlīdzekļa dalība ceļu satiksmē vai nav iespējams uzreiz novērst transportlīdzekļa bojājumus, kuru dēļ aizliegts ar transportlīdzekli piedalīties ceļu satiksmē, zaudējumos ieskaita ekonomiski pamatotus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transportlīdzekļa vai tā atlieku evakuāciju no ceļu satiksmes negadījuma vietas līdz tā transportlīdzekļa īpašnieka vai tiesīgā lietotāja, kurš vadīja transportlīdzekli ceļu satiksmes negadījuma brīdī, dzīvesvietai, transportlīdzekļa stāvvietai vai transportlīdzekļa remonta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transportlīdzekļa evakuāciju no transportlīdzekļa īpašnieka vai tiesīgā lietotāja dzīvesvietas vai transportlīdzekļa stāvvietas līdz transportlīdzekļa remonta vietai, ja pēc ceļu satiksmes negadījuma transportlīdzekli nav bijis iespējams uzreiz nogādāt līdz transportlīdzekļa remonta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sakarā ar izmeklēšanu kriminālprocesā vai citu iemeslu dēļ transportlīdzekli vai tā atliekas nepieciešams novietot stāvvietā, zaudējumos ieskaita arī ekonomiski pamatotus izdevumus par transportlīdzekļa vai tā atlieku evakuāciju līdz attiecīgajai stāvvietai un maksu par stāvvietas pakalpojumiem. Maksu par stāvvietas pakalpojumiem atlīdzina: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brīdim, kad sakarā ar izmeklēšanu kriminālprocesā tiek dota atļauja no stāvvietas izņemt ceļu satiksmes negadījumā bojāto transportlīdzekli vai tā atliekas,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10 dienām citos gadījumos, izņemot, ja transportlīdzekļa īpašniekam vai tiesīgajam lietotājam pastāv būtiski šķēršļi izņemt transportlīdzekli vai tā atliekas no stāvvietas, bet ne vēlāk kā līdz brīdim, kad tiek pieņemts lēmums par apdrošināšanas atlīdzības izmaksu.”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likumprojektā "Grozījumi Sauszemes transportlīdzekļu īpašnieku civiltiesiskās atbildības obligātās apdrošināšanas likumā" (turpmāk – likumprojekts), gan likumprojekta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lietots jēdziens "ekonomiski pamatoti izdevumi", vienlaikus ne no likumprojekta, ne no anotācijas nav līdz galam saprotams šī jēdziena saturs. No anotācijas noprotams, ka  gadījumi, kad transportlīdzekļa evakuācijas izmaksas pārsniedz paša transportlīdzekļa izmaksas, varētu nebūt ekonomiski pamatotas izmaksas. Tomēr Tieslietu ministrija šādam apgalvojumam līdz galam nevar piekrist. Proti, jāņem vērā, ka ceļu satiksmē piedalās transportlīdzekļi ar dažādu vērtību un ceļu satiksmes negadījumi var notikt dažādos attālumos no transportējamās vietas, līdz ar ko nebūtu taisnīgi minēto principu attiecināt uz visiem gadījumiem. Ievērojot minēto, lai nerastos pārpratumi par konkrētās normas un tajā lietoto jēdzienu tvērumu, lūdzam skaidrot iepriekš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Bērziņš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27., 28., 29., 30. un 31.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Ministru kabinets sešu mēnešu laikā no šā likuma spēkā stāšanās dienas izdod Ministru kabineta noteikumus atbilstoši grozījumiem šā likuma 37. 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Grozījumi šā likuma 37. panta piektajā daļā stājas spēkā sešus mēnešus pēc šā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Transportlīdzekļu apdrošinātāju birojs trīs mēnešu laikā no šā likuma spēkā stāšanās dienas nodrošina valdes atbilstību šā likuma 47.pantā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Transportlīdzekļu apdrošinātāju birojs sešu mēnešu laikā no šā likuma spēkā stāšanās dienas iesniedz statūtus saskaņošanai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Šā likuma 51.</w:t>
            </w:r>
            <w:r w:rsidR="00000000" w:rsidRPr="00000000" w:rsidDel="00000000">
              <w:rPr>
                <w:vertAlign w:val="superscript"/>
                <w:rtl w:val="0"/>
              </w:rPr>
              <w:t xml:space="preserve">4</w:t>
            </w:r>
            <w:r w:rsidR="00000000" w:rsidRPr="00000000" w:rsidDel="00000000">
              <w:rPr>
                <w:rtl w:val="0"/>
              </w:rPr>
              <w:t xml:space="preserve"> pants, kas paredz gadījumus, kad Transportlīdzekļu apdrošinātāju birojs ir tiesīgs iesniegt kreditora prasījumu un tā precizējumus, stājas spēkā vienlaikus ar grozījumiem Maksātnespējas likumā, kas paredz tiesības kreditoram precizēt kreditora 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Sauszemes transportlīdzekļu īpašnieku civiltiesiskās atbildības obligātās apdrošināšanas likums (turpmāk - likums) stājās spēkā 2004. gada 1. maijā. Ievērojot minēto, lūdzam precizēt likumprojekta 17. pantā paredzētajos likuma pārejas noteikumos vārdus "šā likuma spēkā stāšanās".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par likumprojekta 7., 8., 9., 10., 11. un 12. pantu, jo tajā minētie vārdi "Ar </w:t>
            </w:r>
            <w:r w:rsidR="00000000" w:rsidRPr="00000000" w:rsidDel="00000000">
              <w:rPr>
                <w:u w:val="single"/>
                <w:rtl w:val="0"/>
              </w:rPr>
              <w:t xml:space="preserve">Ministru kabineta 2004. gada 20. augusta rīkojumu Nr. 583 biroja likvidāciju”</w:t>
            </w:r>
            <w:r w:rsidR="00000000" w:rsidRPr="00000000" w:rsidDel="00000000">
              <w:rPr>
                <w:rtl w:val="0"/>
              </w:rPr>
              <w:t xml:space="preserve"> Satiksmes birojs ir likvidēts. Atbilstoši </w:t>
            </w:r>
            <w:r w:rsidR="00000000" w:rsidRPr="00000000" w:rsidDel="00000000">
              <w:rPr>
                <w:u w:val="single"/>
                <w:rtl w:val="0"/>
              </w:rPr>
              <w:t xml:space="preserve">Ministru kabineta 1997. gada "Par Satiksmes 13. maija noteikumu Nr. 182 Satiksmes biroja likums"</w:t>
            </w:r>
            <w:r w:rsidR="00000000" w:rsidRPr="00000000" w:rsidDel="00000000">
              <w:rPr>
                <w:rtl w:val="0"/>
              </w:rPr>
              <w:t xml:space="preserve"> 1. punktam Satiksmes birojs bija Finanšu ministrijas padotībā" ir neskaidri.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sniedzot risinājuma aprakstu saistībā ar likumprojekta 17. pantu cita starp norādīts, ka "šā likuma 51.</w:t>
            </w:r>
            <w:r w:rsidR="00000000" w:rsidRPr="00000000" w:rsidDel="00000000">
              <w:rPr>
                <w:vertAlign w:val="superscript"/>
                <w:rtl w:val="0"/>
              </w:rPr>
              <w:t xml:space="preserve">4</w:t>
            </w:r>
            <w:r w:rsidR="00000000" w:rsidRPr="00000000" w:rsidDel="00000000">
              <w:rPr>
                <w:rtl w:val="0"/>
              </w:rPr>
              <w:t xml:space="preserve"> pants, kas paredz gadījumus, kad LTAB ir tiesīgs iesniegt kreditora prasījumu un tā precizējumus, stājas spēkā vienlaikus ar grozījumiem Maksātnespējas likumā saistībā ar LTAB tiesībām iesniegt kreditora prasījuma precizējumus". Vēršam uzmanību, ka saskaņā ar panākto vienošanos likumprojektā "Grozījumi Maksātnespējas likumā", kas jau tiek skatīts Saeimā (Saeimas reģ. Nr. 25/Lp14), paredzētie grozījumi nav specifiski LTAB, bet gan paredzētas kā vispārīgas kreditoru tiesības. Līdz ar to aicinām precizēt arī risinājuma aprakstu anotācijas tekstā atbilstoši gan likumprojektā, gan likumprojektā "Grozījumi Maksātnespējas likumā"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šādus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sešu mēnešu laikā no šā likuma spēkā stāšanās dienas izdod Ministru kabineta noteikumus atbilstoši grozījumiem šā likuma 37. 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šā likuma 37. panta piektajā daļā stājas spēkā sešus mēnešus pēc šā likuma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LTAB trīs mēnešu laikā no šā likuma spēkā stāšanās nodrošina valdes atbilstību šā likuma 47. pantā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LTAB sešu mēnešu laikā no šā likuma spēkā stāšanās dienas iesniedz statūtus saskaņošanai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likuma 51.</w:t>
            </w:r>
            <w:r w:rsidR="00000000" w:rsidRPr="00000000" w:rsidDel="00000000">
              <w:rPr>
                <w:vertAlign w:val="superscript"/>
                <w:rtl w:val="0"/>
              </w:rPr>
              <w:t xml:space="preserve">4</w:t>
            </w:r>
            <w:r w:rsidR="00000000" w:rsidRPr="00000000" w:rsidDel="00000000">
              <w:rPr>
                <w:rtl w:val="0"/>
              </w:rPr>
              <w:t xml:space="preserve"> pants, kas paredz gadījumus, kad LTAB ir tiesīgs iesniegt kreditora prasījumu un tā precizējumus, stājas spēkā vienlaikus ar grozījumiem Maksātnespējas likumā saistībā ar kreditora tiesībām iesniegt kreditora prasījuma precizējumus.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grozītas vairākas likuma normas, kurās pārņemtas </w:t>
            </w:r>
            <w:r w:rsidR="00000000" w:rsidRPr="00000000" w:rsidDel="00000000">
              <w:rPr>
                <w:i w:val="1"/>
                <w:rtl w:val="0"/>
              </w:rPr>
              <w:t xml:space="preserve">Eiropas Parlamenta un Padomes 2009.</w:t>
            </w:r>
            <w:r w:rsidR="00000000" w:rsidRPr="00000000" w:rsidDel="00000000">
              <w:rPr>
                <w:rtl w:val="0"/>
              </w:rPr>
              <w:t xml:space="preserve"> </w:t>
            </w:r>
            <w:r w:rsidR="00000000" w:rsidRPr="00000000" w:rsidDel="00000000">
              <w:rPr>
                <w:i w:val="1"/>
                <w:rtl w:val="0"/>
              </w:rPr>
              <w:t xml:space="preserve">gada 16.</w:t>
            </w:r>
            <w:r w:rsidR="00000000" w:rsidRPr="00000000" w:rsidDel="00000000">
              <w:rPr>
                <w:rtl w:val="0"/>
              </w:rPr>
              <w:t xml:space="preserve"> </w:t>
            </w:r>
            <w:r w:rsidR="00000000" w:rsidRPr="00000000" w:rsidDel="00000000">
              <w:rPr>
                <w:i w:val="1"/>
                <w:rtl w:val="0"/>
              </w:rPr>
              <w:t xml:space="preserve">septembra Direktīva Nr.</w:t>
            </w:r>
            <w:r w:rsidR="00000000" w:rsidRPr="00000000" w:rsidDel="00000000">
              <w:rPr>
                <w:rtl w:val="0"/>
              </w:rPr>
              <w:t xml:space="preserve"> </w:t>
            </w:r>
            <w:r w:rsidR="00000000" w:rsidRPr="00000000" w:rsidDel="00000000">
              <w:rPr>
                <w:i w:val="1"/>
                <w:rtl w:val="0"/>
              </w:rPr>
              <w:t xml:space="preserve">2009/103/EK par civiltiesiskās atbildības apdrošināšanu saistībā ar mehānisko transportlīdzekļu izmantošanu un kontroli saistībā ar pienākumu apdrošināt šādu atbildību </w:t>
            </w:r>
            <w:r w:rsidR="00000000" w:rsidRPr="00000000" w:rsidDel="00000000">
              <w:rPr>
                <w:rtl w:val="0"/>
              </w:rPr>
              <w:t xml:space="preserve">(turpmāk – Direktīva) prasības. Šādi grozījumi, kā izriet no anotācijas 1.3.apakšsadaļas, tiek veikti, lai panāktu labāku atbilstību Direktīvai. Šādas likuma normas ir ne tikai tā 28. pants, kura atbilstība Eiropas Savienības Tiesas secinājumiem par Dirketīvas 3. panta interpreāciju ir atspoguļota anotācijas 5. sadaļā, bet arī likuma 6. pants (likumprojekta 1. pants) un likuma 44. pants (likumprojekta 8.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anotācijas 5. sadaļu ar informāciju par visām likumprojekta normām, kurās tiek pārņemtas Dirketīvas prasības. Ja nepieciešams, lūdzam aizpildīt 5. sadaļas 1. tabulu, norādot attiecīgās likumprojekta un likuma normas un attiecīgās Dirketīvas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01.02.2023.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01.02.2023.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Atzinumi_22-TA-942.docx</dc:title>
</cp:coreProperties>
</file>

<file path=docProps/custom.xml><?xml version="1.0" encoding="utf-8"?>
<Properties xmlns="http://schemas.openxmlformats.org/officeDocument/2006/custom-properties" xmlns:vt="http://schemas.openxmlformats.org/officeDocument/2006/docPropsVTypes"/>
</file>