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15. maija noteikumos Nr. 325 "Darba aizsardzības prasības saskarē ar ķīmiskajām vielām darba vietās"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grozījumu noteikumu 1. pielikumā attiecībā uz vielu Nr. 517 (stirols) anotācijā minēts: "</w:t>
            </w:r>
            <w:r w:rsidR="00000000" w:rsidRPr="00000000" w:rsidDel="00000000">
              <w:rPr>
                <w:i w:val="1"/>
                <w:rtl w:val="0"/>
              </w:rPr>
              <w:t xml:space="preserve">Lai nodrošinātu samērīgu, uz pierādījumiem balstītu un tehnoloģiski realizējamu pieeju, paredzēts stirolam (1. pielikums, vielas Nr. 517) noteikt jaunu 8 stundu vidējo AER 85,2 mg/m³, īslaicīgo 170,4 mg/m³, kas būtu </w:t>
            </w:r>
            <w:r w:rsidR="00000000" w:rsidRPr="00000000" w:rsidDel="00000000">
              <w:rPr>
                <w:i w:val="1"/>
                <w:u w:val="single"/>
                <w:rtl w:val="0"/>
              </w:rPr>
              <w:t xml:space="preserve">līdzīga vairāku ES valstu praksei, bet vienlaikus nodrošina pietiekamu nodarbināto veselības aizsardzību</w:t>
            </w:r>
            <w:r w:rsidR="00000000" w:rsidRPr="00000000" w:rsidDel="00000000">
              <w:rPr>
                <w:i w:val="1"/>
                <w:rtl w:val="0"/>
              </w:rPr>
              <w:t xml:space="preserve"> (noteikumu projekta 1.3. apakšpunkts). Šī vērtība atbilst līmenim, ko izmanto vairākas ES dalībvalstis (t.sk. Somija, Vācija, Lietuva, Igaunija, Īrija, Nīderlande), un nodrošina līdzsvaru starp nodarbināto veselības aizsardzību un uzņēmumu reālajām iespējām nodrošināt atbilstību normatīvajam regulējumam.</w:t>
            </w:r>
            <w:r w:rsidR="00000000" w:rsidRPr="00000000" w:rsidDel="00000000">
              <w:rPr>
                <w:rtl w:val="0"/>
              </w:rPr>
              <w:t xml:space="preserve">" Saistībā ar minēto aicinām anotācijā izvērstāk pamatot, kādēļ izvēlēta tieši attiecīgā vērtība un kādēļ tā nodrošina pietiekamu nodarbināto veselības aizsardzību, kā arī norādīt konkrētus piemērus, kāda ir attiecīgā vērtība minētajās Eiropas Savienības dalībvalstīs.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 noteikumu 1. pielikuma 178. punktā minēts dimetalīns, nevis diizocionāts, tādēļ aicinām izvērtēt un tehniski precizēt noteikumu projekta 1.1. apakšpunktā ietverto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korespondējošajā direktīvas vienībā minēto, aicinām papildināt šo noteikumu 1. pielikuma 8. piezīmi ar norādi uz </w:t>
            </w:r>
            <w:r w:rsidR="00000000" w:rsidRPr="00000000" w:rsidDel="00000000">
              <w:rPr>
                <w:u w:val="single"/>
                <w:rtl w:val="0"/>
              </w:rPr>
              <w:t xml:space="preserve">kopējās</w:t>
            </w:r>
            <w:r w:rsidR="00000000" w:rsidRPr="00000000" w:rsidDel="00000000">
              <w:rPr>
                <w:rtl w:val="0"/>
              </w:rPr>
              <w:t xml:space="preserve"> koncentrācijas palielinājuma iespējamību.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aicinām anotācijas 1.3. apakšsadaļā izvērstāk skaidrot noteikumu 1. pielikumā paredzētā grozījuma nepieciešamību un saturu attiecībā uz vielu Nr. 205, tostarp skaidrot arī izmaiņas attiecībā uz nosaukumu (sinonīmiem).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25-TA-3086</w:t>
    </w:r>
    <w:r>
      <w:br/>
    </w:r>
    <w:r w:rsidR="00000000" w:rsidRPr="00000000" w:rsidDel="00000000">
      <w:rPr>
        <w:rtl w:val="0"/>
      </w:rPr>
      <w:t xml:space="preserve">Izdrukāts 24.02.2026.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25-TA-3086</w:t>
    </w:r>
    <w:r>
      <w:br/>
    </w:r>
    <w:r w:rsidR="00000000" w:rsidRPr="00000000" w:rsidDel="00000000">
      <w:rPr>
        <w:rtl w:val="0"/>
      </w:rPr>
      <w:t xml:space="preserve">Izdrukāts 24.02.2026.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Atzinumi_25-TA-3086.docx</dc:title>
</cp:coreProperties>
</file>

<file path=docProps/custom.xml><?xml version="1.0" encoding="utf-8"?>
<Properties xmlns="http://schemas.openxmlformats.org/officeDocument/2006/custom-properties" xmlns:vt="http://schemas.openxmlformats.org/officeDocument/2006/docPropsVTypes"/>
</file>