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ietvert arī atbalsta piešķiršanas strīdu risināšanas kārtību starp finansējuma saņēmēju un pētniecības pieteikuma iesniedzēju </w:t>
            </w:r>
            <w:r w:rsidR="00000000" w:rsidRPr="00000000" w:rsidDel="00000000">
              <w:rPr>
                <w:u w:val="single"/>
                <w:rtl w:val="0"/>
              </w:rPr>
              <w:t xml:space="preserve">pirms</w:t>
            </w:r>
            <w:r w:rsidR="00000000" w:rsidRPr="00000000" w:rsidDel="00000000">
              <w:rPr>
                <w:rtl w:val="0"/>
              </w:rPr>
              <w:t xml:space="preserve"> atbalsta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23.8. apakšpunkts paredz, ka līgumā ar pētniecības pieteikuma iesniedzēju tiks iekļauta arī strīdu risināšanas kārtība. Ar to saprotama strīdu risināšanas kārtība </w:t>
            </w:r>
            <w:r w:rsidR="00000000" w:rsidRPr="00000000" w:rsidDel="00000000">
              <w:rPr>
                <w:u w:val="single"/>
                <w:rtl w:val="0"/>
              </w:rPr>
              <w:t xml:space="preserve">pētniecības projekta īstenošanas laikā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vēršam uzmanību, ka noteikumu projektā nav ietverts regulējums par strīdu risināšanas kārtību </w:t>
            </w:r>
            <w:r w:rsidR="00000000" w:rsidRPr="00000000" w:rsidDel="00000000">
              <w:rPr>
                <w:u w:val="single"/>
                <w:rtl w:val="0"/>
              </w:rPr>
              <w:t xml:space="preserve">pirms</w:t>
            </w:r>
            <w:r w:rsidR="00000000" w:rsidRPr="00000000" w:rsidDel="00000000">
              <w:rPr>
                <w:rtl w:val="0"/>
              </w:rPr>
              <w:t xml:space="preserve"> atbalsta piešķiršanas pētniecības pieteikuma iesniedzējiem, piemēram, atbalsta piešķiršanas atteikuma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44 800 000 euro (tai skaitā elastības finansējuma apjoms 5 488 842 euro), tai skaitā Eiropas Reģionālās attīstības fonda finansējums - 38 080 000 euro (tai skaitā elastības finansējuma apjoms 4 665 516 euro), valsts budžeta līdzfinansējums – 5 149 646 euro (tai skaitā elastības finansējuma apjoms 823 326 euro) un privātais līdzfinansējums - 1 570 354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novērtēt pasākuma finansējuma atbilstību, lūdzam Izglītības un zinātnes ministriju iesniegt atjaunotu Eiropas Savienības kohēzijas politikas programmas 2021. - 2027.gadam papildinājuma tabulu attiecībā uz 1.1.1.SAM, kā minēts izziņas 147.punktā. Tāpat atbilstoši izziņas skaidrojumam lūdzam iesniegt arī atjaunotu 1.1.1.SAM rādītāju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Pētniecības pieteikuma iesniedzējam un sadarbības partnerim izvirzītas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38.punktā Finanšu ministrijas izteikto iebildumu, jo joprojām nav skaidrs, kādām darbībām tiks piesaistīts sadarbības partneris. Ievērojot MKN projekta 30.punktā noteikto, ka sadarbības partneris var gūt ekonomiskās priekšrocības, MKN projekta 32.punktā paredzēto par to, ka arī sadarbības partneriem tiek izvirzītas noteiktas prasības saskaņā ar Komisijas 2014.gada 17.jūnija Regulas (ES) Nr.651/2014, ar ko noteiktas atbalsta kategorijas atzīst par saderīgām ar iekšējo tirgu, piemērojot Līguma 107. un 108.pantu (turpmāk – Komisijas regula Nr.651/2014), noteikto, un vienlaikus anotācijā skaidroto, ka </w:t>
            </w:r>
            <w:r w:rsidR="00000000" w:rsidRPr="00000000" w:rsidDel="00000000">
              <w:rPr>
                <w:rtl w:val="0"/>
              </w:rPr>
              <w:t xml:space="preserve">sadarbības partneris tiešā veidā nesaņem publiskos resursus ar saimniecisko darbību saistītā pētniecības pieteikumā, ir secināms, ka nevar tikt izslēgts, ka sadarbības partneris gūst labumu no publisko resursu piešķīruma ar saimniecisko darbību saistītā projektā. Attiecīgi, tas arī var būt uzskatāms par atbalsta saņēmēju un vērtējams Komisijas regulas Nr.651/2014 kontekstā, piešķirot tam atbalstu. Aicinām izvērtēt sadarbības partnera lomu un pārskatīt MKN projektā ietvertos nosacījumus, nodrošinot Komisijas regulas Nr.651/2014 nosacījumu piemērošanu tam sniegtajam komercdarbības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gadījumiem, kad sadarbības partneris tiek piesaistīts ar saimniecisko darbību nesaistītos projektos, lūdzam MKN projektā nodrošināt, ka arī sadarbības partneris atbilst MKN projekta 2.1.punktā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tiek iesniegts apliecinājums, ka uz atbalsta piešķiršanas brīdi tie nav nonākuši finansiālās grūtībās saskaņā ar Regulas Nr. 651/2014 2.panta 18.punkta c)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atbalstu saskaņā ar Komisijas regulu Nr.651/2024, ir jānodrošina, ka atbalsta saņēmējs un sadarbības partneris (ja attiecināms) ir tāds, kas nav uzskatāms par nonākušu finansiālās grūtībās saskaņā Komisijas regulas Nr.651/2014 2.panta 18.punktu. MKN projekta 43.8.punktā ir noteikts, ka pirms atbalsta piešķiršanas tas tiek vērtēts, vienlaikus MKN projekta 32.punktā nav nepārprotami pateikts, ka atbalstu nepiešķir grūtībās nonākušiem uzņēmumiem. Attiecīgi lūdzam precizēt MKN projekta 32.2.apakšpunktu, nosakot, ka atbalsts saskaņā ar Komisijas regulu Nr.651/2024 tiks piešķirts tikai tādiem pētniecības projektu iesniedzējiem un to sadarbības partneriem, kas nav uzskatāmi par finansiālās grūtībās nonākušiem atbilstoši MKN projekta 2.7.apakšpunktā noteiktajam un ka atbilstība Komisijas regulas Nr.651/2014 2.panta 18.punkta c) apakšpunktam tiek pārbaudīta ar apliecinājuma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ja kāda no nozarēm, kurā darbojas pētniecības pieteikuma iesniedzējs vai sadarbības partneris, nav atbalstāma un pētniecības pieteikuma iesniedzējs vai sadarbības partneris pretendē uz pētniecības pieteikuma īstenošanu atbalstāmajā nozarē, pētniecības pieteikuma iesniedzējs pētniecības pieteikuma ietvaros skaidri nodala darbības atbalstāmajās nozarēs un ar to īstenošanu saistītās finanšu plūsmas no citu nozaru darbībām un finanšu plūsmām pētniecības pieteikuma īstenošanas laikā un trīs gadus pēc pētniecības pieteikuma īstenošanas, ja pētniecības pieteikuma iesniedzējs atbilst sīkā (mikro), mazā vai vidējā komersanta definīcijai, bet piecus gadus pēc pētniecības pieteikuma īstenošanas, ja tas atbilst lielā komersanta definīcijai vai ja pētniecības pieteikuma iesniedzējs īsteno ar saimniecisko darbību nesaistītu pētniecības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164.punktā sniegto skaidrojumu, vēršam uzmanību, ka atbalsts mācībām, atbalsts pētniecības un attīstības jomā, kā arī inovāciju atbalsts MVU Komisijas regulas Nr.651/2014 1.panta 3.punktā ir minēts kā izņēmums, kuram šo regulu var piemērot (skatīt Komisijas regulas Nr.651/2014 1.panta 3.punkta a) un b) apakšpunktu). Vienlaikus, ievērojot pasākuma pētniecības mērķi, aicinām apsvērt, vai tiešām šī pasākuma ietvaros ir nepieciešams MKN projektā norādīt uz neatbalstāmajām nozarēm. Skaidrojam, ka arī pārējie Komisijas regulas Nr.651/2014 1.panta 3.punkta apakšpunkti, ņemot vērā šī atbalsta pasākuma specifisko mērķi, nav attiecināmi. Attiecīgi lūdzam MKN projekta 32.4.apakšpunktu dzēst.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ar saimniecisko darbību saistīta pētniecības pieteikuma ietvaros sešu mēnešu laikā pēc lēmuma pieņemšanas par pētniecības pieteikuma iesnieguma apstiprināšanu. Iesniedzot ar saimniecisko darbību saistītu pētniecības pieteikumu, pieteikumā ir jāietver visi punkti, kas noteikti Komisijas Regulas Nr. 651/2014 6. panta 2.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atbalstu ar Komisijas regulu Nr.651/2014, ir nepieciešams nodrošināt atbalsta stimulējošās ietekmes nosacījumu izpildi - darbs pie projekta ir uzsākams tikai tad, kad atbalsta saņēmējs ir iesniedzis rakstisku atbalsta pieteikumu. Šis nosacījums jau ir ietverts MKN projekta 59.2.apakšpunktā. Attiecīgi aicinām 47.2.apakšpunkta otro teikumu pārcelt uz 59.2.apakšpunktu, jo 47.punktā minētie nosacījumi pēc būtības ievērojami papildus stimulējošās ietekmes nosacījumam un saistīti ar projektu ieviešanas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MKN projekta 59.2.apakšpunktu aicinām attiecīgi izteikt precīzāk: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finansējuma saņemšanai pētniecības pieteikuma iesniedzējs pētniecības pieteikuma iesniegumā pamato kopējā publiskā finansējuma stimulējošo ietekmi un iesniedz rakstisku atbalsta pieteikumu, pirms sākas darbs pie projekta, ievērojot regulas Nr. 651/2014 2. panta 23. punktā minēto darbu sākuma definīciju un regulas Nr. 651/2014 6. panta 2. punktā minēto stimulējošās ietekmes prasību. Iesniedzot ar saimniecisko darbību saistītu pētniecības pieteikumu, pieteikumā ir jāietver visi punkti, kas noteikti Komisijas Regulas Nr. 651/2014 6. panta 2. punktā. Ja darbi pie projekta sākti pirms pētniecības pieteikuma iesniegšanas finansējuma saņēmējam, pētniecības pieteikums ir noraidāms."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tiek pārkāptas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noteiktās komercdarbības atbalsta kontroles normas,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noteikt termiņu, kurā būtu nodrošināma ar saimniecisku darbību nesaistītu pētniecības projektu uzraudzīšana komercdarbības atbalsta kontroles kontekstā, piemēram, Ministru kabineta 2016. gada 19. janvāra noteikumu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53.punkts paredzēja uzraudzību. Lūdzam atbilstoši papildināt MKN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Pieļaujamā publiskā finansējuma atbalsta intensitāte ar saimniecisko darbību saistīta pētniecības pieteikuma īstenošanai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izpratni par to, saskaņā ar kādu Komisijas regulas Nr.651/2014 pantu tiek plānots sniegt komercdarbības atbalstu šajā MKN projekta punktā, lūdzam MKN projekta 74.punkta ievada daļā iekļaut atsauci uz konkrētu Komisijas regulas Nr.651/2014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74.3. šo noteikumu </w:t>
            </w:r>
            <w:r w:rsidR="00000000" w:rsidRPr="00000000" w:rsidDel="00000000">
              <w:rPr>
                <w:rtl w:val="0"/>
              </w:rPr>
              <w:t xml:space="preserve">74.2. </w:t>
            </w:r>
            <w:r w:rsidR="00000000" w:rsidRPr="00000000" w:rsidDel="00000000">
              <w:rPr>
                <w:rtl w:val="0"/>
              </w:rPr>
              <w:t xml:space="preserve">apakšpunktā</w:t>
            </w:r>
            <w:r w:rsidR="00000000" w:rsidRPr="00000000" w:rsidDel="00000000">
              <w:rPr>
                <w:rtl w:val="0"/>
              </w:rPr>
              <w:t xml:space="preserve"> minēto publiskā finansējuma atbalsta intensitāti var palielināt par 15 procentpunktiem no pētniecības pieteikuma kopējām attiecināmajām izmaksām, nepārsniedzot 80 procentus no pētniecības pieteikuma kopējām attiecināmajām izmaksām, ja rūpnieciskajiem pētījumiem tiek nodrošināta pētniecības rezultātu publiska pieejamība vismaz vienā no šādiem veidiem – pētniecības rezultātu izplatīšana tehniskās un zinātniskās konferencēs un publiski pieejamās krātuvēs (datubāzes), bezmaksas programmatūras pieejamība.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5.sadaļas 1.tabulā ietvert norādi, saskaņā ar kuru Komisijas regulas Nr.651/2014 25.panta apakšpunktu ir noteikts šis intensitātes palielinājums.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Tehnoloģiju tiesību aizsardzības un mācību atbalsta ietvaros nav attiecināmas izmaksas, kas pārsniedz šo noteikumu </w:t>
            </w:r>
            <w:r w:rsidR="00000000" w:rsidRPr="00000000" w:rsidDel="00000000">
              <w:rPr>
                <w:rtl w:val="0"/>
              </w:rPr>
              <w:t xml:space="preserve">77. </w:t>
            </w:r>
            <w:r w:rsidR="00000000" w:rsidRPr="00000000" w:rsidDel="00000000">
              <w:rPr>
                <w:rtl w:val="0"/>
              </w:rPr>
              <w:t xml:space="preserve">punktā</w:t>
            </w:r>
            <w:r w:rsidR="00000000" w:rsidRPr="00000000" w:rsidDel="00000000">
              <w:rPr>
                <w:rtl w:val="0"/>
              </w:rPr>
              <w:t xml:space="preserve"> minēto pieļaujamo publiskā finansējuma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kādēļ šāds nosacījums MKN projektā ir ietverts tikai attiecībā uz tehnoloģiju tiesību aizsardzību un mācību atbalstu, bet attiecībā uz pētniecības atbalstu. Vienlaikus lūdzam ņemt vērā, ka vispārējais princips komercdarbības atbalsta kontroles kontekstā ir, ka visas izmaksas, kas pārsniedz konkrēto intensitāti, ir neattiecināmas no publiskā finansējuma. Attiecīgi nav skaidrs, kādēļ šāds nosacījums ir iekļauts MKN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89.4. ar pētniecības pieteikuma īstenošanas pabeigšanu saistītās izmaksas sedz pētniecības pieteikuma iesniedzēja dibinātājs. Ja pētniecības pieteikuma iesniedzējs ir zinātnisko institūciju reģistrā reģistrēts valsts zinātniskais institūts, valsts augstskola, valsts augstskolas zinātniskais institūts, tai skaitā valsts dibinātas universitātes zinātniskais institūts — atvasināta publiska persona, kas īsteno ar saimniecisku darbību nesaistītu projektu, tad radušās pētniecības pieteikuma izmaksas sedz no valsts budžeta līdzekļiem atbilstoši normatīvajam regulējumam par zinātniskās darbības bāzes finansējuma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 precizējumu MKN projekta 89.4.punktā, lūdzam sniegt skaidrojumu par to, kāda būs atbalsta sniedzēja rīcība gadījumā, ja tiks īstenots ar saimniecisku darbību saistīts projekts. Attiecīgi aicinām precizēt arī MKN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Pasākumu īsteno vienā projektu iesniegumu atlases kārtā par visu pasākumam plānoto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"plānoto" ar "pieejamo", ievērojot 13. un 14.punktā noteikto, ka pasākumu var īstenot par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 vienā projektu iesniegumu atlases kārtā par visu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uzkrāj datus par pētniecības pieteikuma iesniegumiem, t.sk. personu datu līmenī, lai uzskaitītu pēcdoktorantus, kas būs saņēmuši atbalstu gan 1.1.1.2., gan 1.1.1.9.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1.1.1.2.pasākumu precīzāk, t.i., norādot arī plānošanas periodu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28.7. apakšpunktu aiz vārda "mehānismu" ar vārdu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dubultā finansējuma novēršanas mehānisms jāparedz ne tikai pret citiem finansēšanas avotiem, bet arī nodrošinot, ka konkrēta darbība projekta īstenošanai piešķirtā finansējuma ietvaros netiek finansēta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49.1. </w:t>
            </w:r>
            <w:r w:rsidR="00000000" w:rsidRPr="00000000" w:rsidDel="00000000">
              <w:rPr>
                <w:rtl w:val="0"/>
              </w:rPr>
              <w:t xml:space="preserve">apakšpunktā</w:t>
            </w:r>
            <w:r w:rsidR="00000000" w:rsidRPr="00000000" w:rsidDel="00000000">
              <w:rPr>
                <w:rtl w:val="0"/>
              </w:rPr>
              <w:t xml:space="preserve"> minētās finansējuma saņēmēja projekta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178.punktā izteiktajam iebildumam, punktu nepieciešams papildināt ar vēl vienu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50.16. finansējums COFUND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finansējuma saņēmēja tiešās attiecināmās izmaksas ietver izmaksu pozīciju cofund projekta īstenošanas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jāprecizē noteikumu 52.punkts,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šo noteikumu 50. punktā (izņemot 50.15. apakšpunktu un </w:t>
            </w:r>
            <w:r w:rsidR="00000000" w:rsidRPr="00000000" w:rsidDel="00000000">
              <w:rPr>
                <w:b w:val="1"/>
                <w:rtl w:val="0"/>
              </w:rPr>
              <w:t xml:space="preserve">50.16.apakšpunktu</w:t>
            </w:r>
            <w:r w:rsidR="00000000" w:rsidRPr="00000000" w:rsidDel="00000000">
              <w:rPr>
                <w:rtl w:val="0"/>
              </w:rPr>
              <w:t xml:space="preserve">) un 51. punktā minētās izmaksas nepārsniedz 3 126 329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Ķepīte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50.13. normatīvajos aktos par obligātajām veselības pārbaudēm paredzēto veselības pārbaužu izmaksas, redzes korekcijas līdzekļu kompensācija, veselības apdrošināšana projekta vadības un projekta īstenošanas personālam, ja veselības apdrošināšana paredzēta finansējuma saņēmēja iestādē. Ja projekta vadības un projekta īstenošanas personāls ir nodarbināts normālu darba laiku, veselības apdrošināšanas izmaksas ir attiecināmas 100 procentu apmērā. Ja projekta vadības un projekta īstenošanas personāls ir nodarbināts nepilnu darba laiku, veselības apdrošināšanas izmaksas nosakāmas atbilstoši nepilnā darba laika noslodzei. Ja projekta vadības un projekta īstenošanas personāla atlīdzībai piemēro daļlaika attiecināmības principu, veselības apdrošināšanas izmaksas nosakāmas proporcionāli atlīdzības procentuālajam sadalījumam. Veselības apdrošināšanas izmaksas ir attiecināmas tikai uz periodu, kad projekta vadības un projekta īstenošanas personāls ir nodarbināts projektā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apdrošināšanas un redzes korekcijas līdzekļu izmaksas ietilpst personāla izmaksās un tas ir noteikts vadošās iestādes vadlīniju Nr. 1.2. "Vadlīnijas attiecināmo izmaksu noteikšanai Eiropas Savienības kohēzijas politikas programmas 2021.-2027.gada plānošanas periodā" (turpmāk – attiecināmības vadlīnijas) 7.15.2.2. un 7.15.2.3.apakšpunktā norādītajās atsaucēs. Ņemot vērā iepriekšminēto, aicinām svītrot vārdus "normatīvajos aktos par obligātajām veselības pārbaudēm paredzēto veselības pārbaužu izmaksas, redzes korekcijas līdzekļu kompensācija".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tehnoloģiju tiesību aizsardzības atbalstam 50 procenti pētniecības pieteikuma iesniedzējam, kas atbilst sīkā (mikro), mazā vai vidējā komersanta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MKN punktu apvienot, saglabājot atsauci uz Komisijas regulas Nr.651/2014 28.panta 2.punktu, ar MKN projekta 76.punktu, jo tajos pārklājas vieni un tie paši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teikumu atbilstoši attiecināmības vadlīnijās minētajai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paredzēts izstrādāt vienkāršoto izmaksu metodiku projekta vadības un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redakciju, jo metodika vēl nav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(pēcdoktoranta) izmaksas atbilstoši MSCA “Pēcdoktorantūras stipendijas” noteiktajai standartlikmei (piemērojot korelācijas koeficientu 76%) - līdz 3 860 euro mēnesī, tai skaitā valsts sociālās apdrošināšanas obligātās iemaksas un citas sociālās garantijas. Atlīdzības izmaksu apmērs tiek noteikts un izmaksas tiek attiecinātas atbilstoši atbildīgās iestādes apstiprinātajai vienkāršoto izmaksu metodikai, kas tiks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valsts budžetu 2023.gadam un budžeta ietvaru 2023., 2024. un 2025. gadam” 1.1.1. specifiskā atbalsta mērķa “Pētniecības un inovāciju kapacitātes stiprināšana un progresīvu tehnoloģiju ieviešana kopējā P&amp;A sistēmā” 1.1.1.9. pasākumam “Pēcdoktorantūras pētījumi” nav plānots finansējums Izglītības un zinātnes ministrijas budžetā, lūdzam anotācijas 3.sadaļas "Tiesību akta projekta ietekme uz valsts budžetu un pašvaldību budžetiem" ailē "Turpmākie trīs gadi (euro)" kolonnās "saskaņā ar vidēja termiņa budžeta ietvaru" norādītās vērtībās pārcelt uz kolonnu "izmaiņas, salīdzinot ar vidēja termiņa budžeta ietvaru", attiecīgi aizpildot arī minētās sadaļas 5., un 5.1.punktu.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27.11.2023.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27.11.2023.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Atzinumi_23-TA-1445.docx</dc:title>
</cp:coreProperties>
</file>

<file path=docProps/custom.xml><?xml version="1.0" encoding="utf-8"?>
<Properties xmlns="http://schemas.openxmlformats.org/officeDocument/2006/custom-properties" xmlns:vt="http://schemas.openxmlformats.org/officeDocument/2006/docPropsVTypes"/>
</file>