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24-TA-2157: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nelikumīga tiešsaistes satura ierobežošanu un informācijas pieprasīšanu no starpniecības pakalpojumu sniedzējiem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anotāciju kopumā, tostarp arī anotācijas 5.3. un 5.4. apakšsadaļu, un to precizēt, lai anotācijā ietvertie skaidrojumi atbilst projektā ietvertajam tiesiskajam regulējumam. Piemēram, uz atkārtoto saskaņošanu nodotajā projektā, ņemot vērā Tieslietu ministrijas 2025. gada 20. marta iebildumu, svītrots 13.2., 14.2., 15.3., 22.3. apakšpunkts un 28. punkts (27. punktā ietvertā norma sadalīta 27. un 28. punktā). Tomēr anotācijā attiecīgi precizējumi nav veikti, tādēļ lūdzam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02.04.2025. 10.12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02.04.2025. 10.12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Atzinumi_24-TA-2157.docx</dc:title>
</cp:coreProperties>
</file>

<file path=docProps/custom.xml><?xml version="1.0" encoding="utf-8"?>
<Properties xmlns="http://schemas.openxmlformats.org/officeDocument/2006/custom-properties" xmlns:vt="http://schemas.openxmlformats.org/officeDocument/2006/docPropsVTypes"/>
</file>