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un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vairāki noteikumu projekta 14. punktā minētie pasākumi, kurus īstenos finansējuma saņēmēja piesaistīts pakalpojuma sniedzējs, netieši paredz pasākuma mērķa grupas personas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anotācijas 8.1.13. apakšpunktā norādīts, ka lai identificētu un uzskaitītu 4.3.6.5. pasākuma ietvaros atbalstu saņēmušās mērķa grupas personas VBTAI veiks minēto datu subjektu personas datu apstrādi, ievērojot Regulā Nr.2021/1057, Regulā Nr.2016/679 un citos Latvijas Republikas personas datu aizsardzību regulējošajos normatīvajos aktos noteiktās prasības. Finansējuma saņēmējs (VBTAI) mērķa grupas personu datus izmanto maksājuma pieprasījumu sagatavošanai, ko iesniedz sadarbības iestādei (CFLA) caur Kohēzijas politikas fondu vadības informācijas sistēmu (KPVIS) atbilstoši MK 2023. gada 21. marta noteikumiem Nr. 135 “Eiropas Savienības fondu projektu pārbaužu veikšanas kārtība 2021.–2027. gada plānošanas periodā” (noteikts minēto MK noteikumu 1. pielikumā). Proti, anotācijā ir norādītas vairākas pasākuma mērķa grupas personas datu apstrādes darbības, kuras veiks dažādi subjekti,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noteikumu projekts skaidri nenosaka, kas, kādam nolūkam un kādā apjomā veiks pasākuma mērķa grupas personas datu apstrādi, noteikumu projektā norādīto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fizisko personu datu apstrādi publiska persona var veikt, ja ir ievēroti visi Vispārīgās datu aizsardzības regulas 5. pantā minētie personas datu apstrādes principi un ir piemērojams Vispārīgās datu aizsardzības regulas 6. panta 1. punkta c) vai e) apakšpunktā minētais tiesiskais pamats. Saskaņā ar Vispārīgās datu aizsardzības regulas 6. panta 3. punktu, personas datu apstrādes tiesiskais pamats un citi nosacījumi, lai piemērotu šīs regulas nosacījumu īstenošanu, ir nosakāmi Eiropas Savienības vai nacionālā normatīvā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likumīguma, godprātības un pārredzamības principa ievērošanu, Inspekcijas skatījumā noteikumu projektā nepieciešams noteikt -  kas, kādam nolūkam un kādā apjomā veiks pasākuma mērķa grupas personas datu apstrādi, noteikumu projektā norādīto pasākumu īstenošanā.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apakšpunktā citastarp skaidrots, ka finansējuma saņēmējs un sadarbības partneris datus uzkrāj un apstrādā tādā apjomā, lai nodrošinātu projekta īstenošanu un nepieciešamo informāciju maksājumu pieprasījumu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pirmkārt, noteikumu projekta 29. punkts neparedz, ka finansējuma saņēmējs veiktu šādas apstrādes darbības. Otrkārt, noteikumu projekts neparedz sadarbības partnera iesaisti noteikumu projektā norādīto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novērst pretrunas un precizēt skaidrojumu anotācijas 8.1.13.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27.06.2023.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27.06.2023.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