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27. jūnija ārkārtas sēdes protokola Nr. 34 8.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6. punktā lemtais attiecībā uz turpmāko atlikumu no 4.2.1.7. pasākuma "Pirmsskolas izglītības iestāžu infrastruktūras attīstība" (turpmāk – 4.2.1.7.pasākums) novirzīšanu uzņēmējdarbības atbalstam 5.1.1.1.pasākumam “Infrastruktūra uzņēmējdarbības atbalstam” (turpmāk – 5.1.1.1.pasākums), neatceļ nosacījumu, ka šādas finansējuma pārdales būtu virzāmas izskatīšanai nākamajā Eiropas Savienības fondu tematiskās komitejas sēdē (turpmāk – komiteja), atbilstoši komitejas 2026. gada 6. augusta sēdē pielemtajam – ministrijām sniegt papildu informāciju un argumentus par pārdalēm Eiropas Savienības Kohēzijas politikas programmā 2021. – 2017. gadam, un priekšlikumus vērtēt nākamajā komitejas sēdē. Attiecīgi ar konkrēto finansējuma pārdales priekšlikumu saistīto noteikumu projektu virzība apstiprināšanai Ministru kabinetā ir atbalstāma tikai pēc tam, kad par to ir saņemts politisks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16. decembrī Eiropas Komisija ir pieņēmusi jaunu komercdarbības atbalsta regulējumu -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stājās spēkā 2026. gada 8. janvārī, lūdzam izvērtēt grozījumu veikšanas nepieciešamību šajos noteikumos attiecībā uz piemērojamiem nosacījumiem pakalpojumiem ar vispārēju tautsaimniecisku nozīmi un rīcību, gadījumos, ja sabiedrisko pakalpojumu sniedzējam noslēgts pilnvarojuma akts ar jauno VTNP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sniedzot informāciju par izmaiņām Eiropas Savienības kohēzijas politikas programmas 2021.–2027. gadam  4.2.1.7. pasākuma  īstenošanas noteikumi programmas iznākuma un rezultāta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ir par 5.1.1.1. pasākuma īstenošanu, kuram tiek palielināts īstenošanai pieejamais finansējums, lūdzam aizpildīt arī anotācijas 3.sadaļas “Tiesību akta projekta ietekme uz valsts budžetu un pašvaldību budžetiem” 1.-5.punktus, ailēs “saskaņā ar valsts budžetu kārtējam gadam” un “saskaņā ar vidēja termiņa budžeta ietvaru”, norādot šobrīd budžetā plānoto finansējumu pasākuma īstenošanai, un ailēs “izmaiņas kārtējā gadā, salīdzinot ar valsts budžetu kārtējam gadam” un “izmaiņas, salīdzinot ar vidēja termiņa budžeta ietvaru”, norādot izmaiņas no pasākumam palielinātā finansējuma, attiecīgi punktā “Cita informācija” saglabājot norādīto, ka finansējuma palielinājums veidojas no pārdales no cita pasākuma, kā arī pārskatīt un precizēt otrajā rindkopā norādīto informāciju par ietekmi uz pašvaldību budžetu, precizējot kāda tieši ietekme veidojas, ievērojot, ka arī 5.1.1.1. pasākumā, uz kuru tiek veikta finansējuma pārdale, nacionālais līdzfinansējums daļēji ir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pārdalāmo finansējumu no 4.2.1.7. pasākuma projektiem, aicinām papildināt anotācijas 4.sadaļu “Tiesību akta projekta ietekme uz spēkā esošo tiesību normu sistēmu’ ar skaidrojumu, norādot, vai noslēgtajos līgumos un vienošanās par projektu īstenošanu paredzēts veikt grozījumus, kā arī sniegt informāciju, vai pārtraukto projektu ietvaros neizriet saistības attiecībā uz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pirms pozitīva Eiropas Komisijas lēmuma saņemšanas par grozījumiem Eiropas Savienības kohēzijas politikas programmā 2021.–2027. gadam, veikt 5.1.1. specifiskā atbalsta mērķa "Vietējās teritorijas integrētās sociālās, ekonomiskās un vides attīstības un kultūras mantojuma, tūrisma un drošības veicināšana pilsētu funkcionālajās teritorijās" 5.1.1.1. pasākuma "Infrastruktūra uzņēmējdarbības atbalstam" (turpmāk – 5.1.1.1. pasākums "Infrastruktūra uzņēmējdarbības atbalstam") trešās atlases kārtas ietvaros iesniegto projektu iesniegumu vērtēšanu un apstiprināšanu par papildus piešķirto Eiropas Reģionālās attīstības fonda finansējumu 5 003 360 </w:t>
            </w:r>
            <w:r w:rsidR="00000000" w:rsidRPr="00000000" w:rsidDel="00000000">
              <w:rPr>
                <w:i w:val="1"/>
                <w:rtl w:val="0"/>
              </w:rPr>
              <w:t xml:space="preserve">euro</w:t>
            </w:r>
            <w:r w:rsidR="00000000" w:rsidRPr="00000000" w:rsidDel="00000000">
              <w:rPr>
                <w:rtl w:val="0"/>
              </w:rPr>
              <w:t xml:space="preserve">, un pēc pozitīva Eiropas Komisijas lēmuma saņemšanas par grozījumiem Eiropas Savienības kohēzijas politikas programmā 2021.–2027. gadam, slēgt ar finansējuma saņēmējiem vienošanās vai līgumus par projektu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 punktā tiek paredzēts atļaut Centrālajai finanšu un līgumu aģentūrai veikt 5.1.1. specifiskā atbalsta mērķa 5.1.1.1. pasākuma trešās atlases kārtas ietvaros iesniegto projektu iesniegumu vērtēšanu un apstiprināšanu par papildus piešķirto Eiropas Reģionālās attīstības fonda finansējumu pirms tiek saņemts pozitīvs Eiropas Komisijas lēmums par grozījumiem Eiropas Savienības kohēzijas politikas programmā 2021.–2027. gadam, tomēr tajā netiek paredzēta rīcība gadījumam, ja Eiropas Komisijas lēmums nav pozitīvs.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projekta 3. punktu un noteikt rīcību iespējamai situācijai, ja Eiropas Komisija iebilst grozījumu veikšanai Eiropas Savienības kohēzijas politikas programmā 2021.–2027. gadam, kā arī aicinām anotācijā skaidrot šādas situācijas iespējamos finansiālo un citu saistību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priekšlikums tika izteikts jau iepriekšējā MKN grozījumu reizē, bet grozījumu steidzamības dēļ netika ņemts vērā, ar norādi, ka tiks izvērtēts pie nākamajiem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MKN redakcijā izdevumu pozīcijās ar noteiktu procentuālo ierobežojumu (piemēram, 36.9.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procentuālie ierobežojumi noteikti vairākos citos MKN punktos (36.1.8., 36.2.3., 36.3.5., 36.3.6., 36.4.3., 36.6., 36.8., 36.9.), lūdzam izvērtēt nepieciešamību noteikt, ka procentuālais ierobežojums tiek aprēķināts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w:t>
            </w:r>
            <w:r w:rsidR="00000000" w:rsidRPr="00000000" w:rsidDel="00000000">
              <w:rPr>
                <w:b w:val="1"/>
                <w:u w:val="single"/>
                <w:rtl w:val="0"/>
              </w:rPr>
              <w:t xml:space="preserve">plānotajām</w:t>
            </w:r>
            <w:r w:rsidR="00000000" w:rsidRPr="00000000" w:rsidDel="00000000">
              <w:rPr>
                <w:rtl w:val="0"/>
              </w:rPr>
              <w:t xml:space="preserve">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projekta vadības personāla izmaksas, kas radušās uz darba līguma vai uzņēmuma (pakalpojuma) līguma pamata, tai skaitā valsts sociālās apdrošināšanas obligātās iemaksas no apliekamajām attiecināmajām izmaksām, ņemot vērā,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priekšlikums tika izteikts jau iepriekšējā MKN grozījumu reizē, bet grozījumu steidzamības dēļ netika ņemts vērā, ar norādi, ka tiks izvērtēts pie nākamajiem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36.10.1., 36.10.2. apakšpunktus ņemot vērā, ka 09.06.2025. veikti grozījumi vadlīnijās, kurās vairs nav iekļauti nosacījumi tiešo projektu vadības personāla izmaksu maksimālajiem ierobežojumiem projektos līdz un virs 5 000 000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svītrot noteikumu projekta 36.10.3.apakšpunktā nosacījumu par 30% noslodzi projektā, ņemot vērā, ka vadlīnijās vairs nav iekļauts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w:t>
            </w:r>
            <w:r w:rsidR="00000000" w:rsidRPr="00000000" w:rsidDel="00000000">
              <w:rPr>
                <w:rtl w:val="0"/>
              </w:rPr>
              <w:t xml:space="preserve">2023/2831),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de minimis atbalsts šo noteikumu 36.9.1. apakšpunktā minētajām projektu pamatojošās dokumentācijas sagatavošanas izmaksām un atbalsts saskaņā ar regulu Nr. 651/2014 netiktu uzskatīts par atbalstu vienām un tām pašām attiecināmām izmaksām, kam jāpiemēro noteikumu 70.1. apakšpunkta nosacījumi par kumulāciju, lūdzam precizēt noteikumus tā, lai skaidrs, ka de minimis atbalsts 36.9.1. apakšpunktā minētajām izmaksām nav vienas un tās pašas ar ieguldījumu saistītās attiecināmās izmaksas tikai tādā gadījumā, ja tās neveido projekta ietvaros radīto pamatlīdzekļu - sākotnējo ieguldījumu vērtību.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Finansējuma saņēmējs nodrošina, ka projektā tiek paredzēts "zaļais" publiskais iepirkums būvdarbu,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norādi uz zaļo publisko iepirkumu, ņemot vērā, ka ar 09.06.2026. nav spēkā MK 20.06.2017. noteikumi Nr. 353 “Prasības zaļajam publiskajam iepirkumam un to piemērošanas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15.09.2026.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15.09.2026.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Atzinumi_26-TA-2115.docx</dc:title>
</cp:coreProperties>
</file>

<file path=docProps/custom.xml><?xml version="1.0" encoding="utf-8"?>
<Properties xmlns="http://schemas.openxmlformats.org/officeDocument/2006/custom-properties" xmlns:vt="http://schemas.openxmlformats.org/officeDocument/2006/docPropsVTypes"/>
</file>