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8. septembra noteikumos Nr. 1015 "Kārtība, kādā izsniedz speciālo atļauju (licenci) komercdarbībai zvejniecībā, kā arī maksā valsts nodevu par speciālās atļaujas (licences) izsniegšanu"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pretendents kopā ar iesniegumu atļaujas (licences) saņemšanai neiesniedz šo noteikumu </w:t>
            </w:r>
            <w:r w:rsidR="00000000" w:rsidRPr="00000000" w:rsidDel="00000000">
              <w:rPr>
                <w:rtl w:val="0"/>
              </w:rPr>
              <w:t xml:space="preserve">1.</w:t>
            </w:r>
            <w:r w:rsidR="00000000" w:rsidRPr="00000000" w:rsidDel="00000000">
              <w:rPr>
                <w:rtl w:val="0"/>
              </w:rPr>
              <w:t xml:space="preserve"> pielikumā minētos vai lēmuma pieņemšanai nepieciešamos dokumentus un informāciju, Zemkopības ministrija vai attiecīgā pašvaldība tos saņem Administratīvā procesa likumā noteiktajā kārtībā no Uzņēmumu reģistra, Valsts ieņēmumu dienesta, Latvijas Jūras administrācijas, Ceļu satiksmes drošības direkcijas un Pārtikas un veterinārā dienesta.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procesa likuma 59. panta otrās daļas otrais teikums paredz, ja iestādei lēmuma pieņemšanai nepieciešamā informācija ir nevis administratīvā procesa dalībnieku, bet gan citas institūcijas rīcībā, iestāde to iegūst pati, nevis pieprasa no administratīvā procesa dalībniekiem. Ministru kabineta noteikumi atbilstoši normatīvo aktu hierarhijai nevar noteikt likumam neatbilstošu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Tieslietu ministrija piedāvā precizēt Ministru kabineta 2009. gada 8. septembra noteikumu Nr.1015 "Kārtība, kādā izsniedz speciālo atļauju (licenci) komercdarbībai zvejniecībā, kā arī maksā valsts nodevu par speciālās atļaujas (licences) izsniegšanu" (turpmāk – Noteikumi Nr.1015) 4. un 5. punktu, kā arī 1. pielikumu, lai tiesiskais regulējums par administratīvā procesa ietvaros iesniedzamajiem dokumentiem atbilstu Administratīvā procesa likumā noteiktajam. Turklāt Noteikumu Nr.1015 4. un 5. punkts veido savstarpēju tiesisku pretrunu, kad vienā punktā tiek noteikts pienākums privātpersonai iesniegt dokumentus, bet sekojošajā punktā faktiski paredzētas privātpersonas tiesības to nedarīt un tad pienākums būs iestādei. Šāda regulējuma iekļaušana ārējā normatīvajā aktā nebūtu pieļaujama, jo tā veido tiesisko nihilismu.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regulējumam papildus būtu jāizvērtē projekta pielikumā paredzētais par pašvaldības izsniegtā apstiprinājuma (izziņas) par pretendentam garantējamo nozvejas apjoma limitu vai zvejas rīku veida un skaita limitu, statuss, jo privātpersonai var pieprasīt dokumentus, kas viņam ir izsniegti. Ja izziņas sagatavošanai pašvaldībā ir nepieciešamas papildu darbības un izziņas pretendenta iesaiste (regulējums jāsaglabā), izvērsta informācija par to jāsniedz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administratīvā procesa ietvaros iesniegt var dokumentus, nevis informāciju un atbilstoši nepieciešams precizēt projektā paredzēto Noteikumi Nr.1015 5.punktu.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23-TA-1245</w:t>
    </w:r>
    <w:r>
      <w:br/>
    </w:r>
    <w:r w:rsidR="00000000" w:rsidRPr="00000000" w:rsidDel="00000000">
      <w:rPr>
        <w:rtl w:val="0"/>
      </w:rPr>
      <w:t xml:space="preserve">Izdrukāts 21.12.2023.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23-TA-1245</w:t>
    </w:r>
    <w:r>
      <w:br/>
    </w:r>
    <w:r w:rsidR="00000000" w:rsidRPr="00000000" w:rsidDel="00000000">
      <w:rPr>
        <w:rtl w:val="0"/>
      </w:rPr>
      <w:t xml:space="preserve">Izdrukāts 21.12.2023.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Atzinumi_23-TA-1245.docx</dc:title>
</cp:coreProperties>
</file>

<file path=docProps/custom.xml><?xml version="1.0" encoding="utf-8"?>
<Properties xmlns="http://schemas.openxmlformats.org/officeDocument/2006/custom-properties" xmlns:vt="http://schemas.openxmlformats.org/officeDocument/2006/docPropsVTypes"/>
</file>