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55C0" w:rsidR="00F029CD" w:rsidP="009448C3" w:rsidRDefault="009448C3" w14:paraId="191CE43C" w14:textId="77777777">
      <w:pPr>
        <w:rPr>
          <w:rFonts w:ascii="Times New Roman" w:hAnsi="Times New Roman"/>
          <w:sz w:val="28"/>
          <w:szCs w:val="28"/>
        </w:rPr>
      </w:pPr>
      <w:r w:rsidRPr="00BB55C0">
        <w:rPr>
          <w:rFonts w:ascii="Times New Roman" w:hAnsi="Times New Roman"/>
          <w:sz w:val="28"/>
          <w:szCs w:val="28"/>
        </w:rPr>
        <w:t xml:space="preserve">                                                      </w:t>
      </w:r>
      <w:r w:rsidRPr="00BB55C0" w:rsidR="00F029CD">
        <w:rPr>
          <w:rFonts w:ascii="Times New Roman" w:hAnsi="Times New Roman"/>
          <w:sz w:val="28"/>
          <w:szCs w:val="28"/>
        </w:rPr>
        <w:t>R</w:t>
      </w:r>
      <w:r w:rsidRPr="00BB55C0" w:rsidR="00CB2EF2">
        <w:rPr>
          <w:rFonts w:ascii="Times New Roman" w:hAnsi="Times New Roman"/>
          <w:sz w:val="28"/>
          <w:szCs w:val="28"/>
        </w:rPr>
        <w:t>ī</w:t>
      </w:r>
      <w:r w:rsidRPr="00BB55C0" w:rsidR="00F029CD">
        <w:rPr>
          <w:rFonts w:ascii="Times New Roman" w:hAnsi="Times New Roman"/>
          <w:sz w:val="28"/>
          <w:szCs w:val="28"/>
        </w:rPr>
        <w:t>ga</w:t>
      </w:r>
    </w:p>
    <w:p w:rsidRPr="00BB55C0" w:rsidR="00A96D2C" w:rsidP="00A96D2C" w:rsidRDefault="00BD361F" w14:paraId="046C8640" w14:textId="5B2929BF">
      <w:pPr>
        <w:jc w:val="both"/>
        <w:rPr>
          <w:rFonts w:ascii="Times New Roman" w:hAnsi="Times New Roman"/>
          <w:sz w:val="28"/>
          <w:szCs w:val="28"/>
        </w:rPr>
      </w:pPr>
      <w:r>
        <w:rPr>
          <w:rFonts w:ascii="Times New Roman" w:hAnsi="Times New Roman"/>
          <w:sz w:val="28"/>
          <w:szCs w:val="28"/>
        </w:rPr>
        <w:t>01.09.2020</w:t>
      </w:r>
      <w:r w:rsidRPr="00BB55C0" w:rsidR="00514E38">
        <w:rPr>
          <w:rFonts w:ascii="Times New Roman" w:hAnsi="Times New Roman"/>
          <w:sz w:val="28"/>
          <w:szCs w:val="28"/>
        </w:rPr>
        <w:t>. Nr.</w:t>
      </w:r>
      <w:r>
        <w:rPr>
          <w:rFonts w:ascii="Times New Roman" w:hAnsi="Times New Roman"/>
          <w:sz w:val="28"/>
          <w:szCs w:val="28"/>
        </w:rPr>
        <w:t xml:space="preserve"> 202007/SAN2455/NOS587</w:t>
      </w:r>
    </w:p>
    <w:p w:rsidRPr="00BB55C0" w:rsidR="00514E38" w:rsidP="00A96D2C" w:rsidRDefault="00514E38" w14:paraId="5266FE6B" w14:textId="4C40F574">
      <w:pPr>
        <w:jc w:val="both"/>
        <w:rPr>
          <w:rFonts w:ascii="Times New Roman" w:hAnsi="Times New Roman"/>
          <w:sz w:val="28"/>
          <w:szCs w:val="28"/>
        </w:rPr>
      </w:pPr>
      <w:r w:rsidRPr="00BB55C0">
        <w:rPr>
          <w:rFonts w:ascii="Times New Roman" w:hAnsi="Times New Roman"/>
          <w:sz w:val="28"/>
          <w:szCs w:val="28"/>
        </w:rPr>
        <w:t xml:space="preserve">Uz </w:t>
      </w:r>
      <w:r w:rsidRPr="00BB55C0" w:rsidR="006457A3">
        <w:rPr>
          <w:rFonts w:ascii="Times New Roman" w:hAnsi="Times New Roman"/>
          <w:sz w:val="28"/>
          <w:szCs w:val="28"/>
        </w:rPr>
        <w:t>TAP</w:t>
      </w:r>
      <w:r w:rsidR="00CF1655">
        <w:rPr>
          <w:rFonts w:ascii="Times New Roman" w:hAnsi="Times New Roman"/>
          <w:sz w:val="28"/>
          <w:szCs w:val="28"/>
        </w:rPr>
        <w:t xml:space="preserve"> </w:t>
      </w:r>
      <w:r w:rsidR="00BD361F">
        <w:rPr>
          <w:rFonts w:ascii="Times New Roman" w:hAnsi="Times New Roman"/>
          <w:sz w:val="28"/>
          <w:szCs w:val="28"/>
        </w:rPr>
        <w:t>VSS-636</w:t>
      </w:r>
    </w:p>
    <w:p w:rsidRPr="00BB55C0" w:rsidR="008771CD" w:rsidP="00A96D2C" w:rsidRDefault="008771CD" w14:paraId="543B3F6A" w14:textId="77777777">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Pr="00BB55C0" w:rsidR="008771CD" w:rsidTr="006700FC" w14:paraId="30782498" w14:textId="77777777">
        <w:trPr>
          <w:trHeight w:val="1283"/>
        </w:trPr>
        <w:tc>
          <w:tcPr>
            <w:tcW w:w="4753" w:type="dxa"/>
          </w:tcPr>
          <w:p w:rsidRPr="00BB55C0" w:rsidR="008771CD" w:rsidP="006700FC" w:rsidRDefault="008771CD" w14:paraId="7FFC989A" w14:textId="19F5826D">
            <w:pPr>
              <w:jc w:val="right"/>
              <w:rPr>
                <w:rFonts w:ascii="Times New Roman" w:hAnsi="Times New Roman"/>
                <w:sz w:val="28"/>
                <w:szCs w:val="28"/>
              </w:rPr>
            </w:pPr>
          </w:p>
          <w:p w:rsidRPr="007B737D" w:rsidR="00BD361F" w:rsidP="00BD361F" w:rsidRDefault="00BD361F" w14:paraId="65B495CE" w14:textId="11CE7304">
            <w:pPr>
              <w:jc w:val="right"/>
              <w:rPr>
                <w:rFonts w:ascii="Times New Roman" w:hAnsi="Times New Roman"/>
                <w:sz w:val="28"/>
                <w:szCs w:val="28"/>
              </w:rPr>
            </w:pPr>
            <w:r>
              <w:rPr>
                <w:rStyle w:val="body1"/>
                <w:rFonts w:ascii="Times New Roman" w:hAnsi="Times New Roman"/>
                <w:sz w:val="28"/>
                <w:szCs w:val="28"/>
              </w:rPr>
              <w:t>Tieslietu ministrijai</w:t>
            </w:r>
          </w:p>
          <w:p w:rsidRPr="00392F26" w:rsidR="00BD361F" w:rsidP="00BD361F" w:rsidRDefault="00BD361F" w14:paraId="5BE3E1EA" w14:textId="77777777">
            <w:pPr>
              <w:jc w:val="right"/>
              <w:rPr>
                <w:rFonts w:ascii="Times New Roman" w:hAnsi="Times New Roman"/>
                <w:color w:val="000000"/>
                <w:sz w:val="28"/>
                <w:szCs w:val="28"/>
              </w:rPr>
            </w:pPr>
          </w:p>
          <w:p w:rsidRPr="00BB55C0" w:rsidR="00A141D8" w:rsidP="006700FC" w:rsidRDefault="00A141D8" w14:paraId="187736A5" w14:textId="7A9949E3">
            <w:pPr>
              <w:jc w:val="right"/>
              <w:rPr>
                <w:rFonts w:ascii="Times New Roman" w:hAnsi="Times New Roman"/>
                <w:sz w:val="28"/>
                <w:szCs w:val="28"/>
              </w:rPr>
            </w:pPr>
          </w:p>
        </w:tc>
      </w:tr>
    </w:tbl>
    <w:p w:rsidRPr="00BB55C0" w:rsidR="00A96D2C" w:rsidP="00A96D2C" w:rsidRDefault="00A96D2C" w14:paraId="5CC37E26" w14:textId="585873F5">
      <w:pPr>
        <w:jc w:val="both"/>
        <w:rPr>
          <w:rFonts w:ascii="Times New Roman" w:hAnsi="Times New Roman"/>
          <w:sz w:val="28"/>
          <w:szCs w:val="28"/>
        </w:rPr>
      </w:pPr>
    </w:p>
    <w:tbl>
      <w:tblPr>
        <w:tblW w:w="0" w:type="auto"/>
        <w:tblLook w:val="01E0" w:firstRow="1" w:lastRow="1" w:firstColumn="1" w:lastColumn="1" w:noHBand="0" w:noVBand="0"/>
      </w:tblPr>
      <w:tblGrid>
        <w:gridCol w:w="3756"/>
      </w:tblGrid>
      <w:tr w:rsidRPr="00BB55C0" w:rsidR="007D6ECA" w:rsidTr="002907BE" w14:paraId="5CE85A09" w14:textId="77777777">
        <w:trPr>
          <w:trHeight w:val="433"/>
        </w:trPr>
        <w:tc>
          <w:tcPr>
            <w:tcW w:w="3756" w:type="dxa"/>
          </w:tcPr>
          <w:p w:rsidRPr="00576E6E" w:rsidR="007D6ECA" w:rsidP="006700FC" w:rsidRDefault="002907BE" w14:paraId="52CB50D2" w14:textId="67632604">
            <w:pPr>
              <w:jc w:val="both"/>
              <w:rPr>
                <w:rFonts w:ascii="Times New Roman" w:hAnsi="Times New Roman"/>
                <w:i/>
                <w:sz w:val="28"/>
                <w:szCs w:val="28"/>
              </w:rPr>
            </w:pPr>
            <w:bookmarkStart w:name="Subject10" w:id="0"/>
            <w:bookmarkEnd w:id="0"/>
            <w:r>
              <w:rPr>
                <w:rFonts w:ascii="Times New Roman" w:hAnsi="Times New Roman"/>
                <w:i/>
                <w:color w:val="000000"/>
                <w:sz w:val="28"/>
                <w:szCs w:val="28"/>
              </w:rPr>
              <w:t>P</w:t>
            </w:r>
            <w:r w:rsidRPr="00576E6E" w:rsidR="00576E6E">
              <w:rPr>
                <w:rFonts w:ascii="Times New Roman" w:hAnsi="Times New Roman"/>
                <w:i/>
                <w:color w:val="000000"/>
                <w:sz w:val="28"/>
                <w:szCs w:val="28"/>
              </w:rPr>
              <w:t xml:space="preserve">ar likumprojektu </w:t>
            </w:r>
            <w:r>
              <w:rPr>
                <w:rFonts w:ascii="Times New Roman" w:hAnsi="Times New Roman"/>
                <w:i/>
                <w:color w:val="000000"/>
                <w:sz w:val="28"/>
                <w:szCs w:val="28"/>
              </w:rPr>
              <w:t>“</w:t>
            </w:r>
            <w:r w:rsidRPr="00576E6E" w:rsidR="00576E6E">
              <w:rPr>
                <w:rFonts w:ascii="Times New Roman" w:hAnsi="Times New Roman"/>
                <w:i/>
                <w:color w:val="000000"/>
                <w:sz w:val="28"/>
                <w:szCs w:val="28"/>
              </w:rPr>
              <w:t>Grozījumi Bāriņtiesu likumā</w:t>
            </w:r>
            <w:r>
              <w:rPr>
                <w:rFonts w:ascii="Times New Roman" w:hAnsi="Times New Roman"/>
                <w:i/>
                <w:color w:val="000000"/>
                <w:sz w:val="28"/>
                <w:szCs w:val="28"/>
              </w:rPr>
              <w:t>”</w:t>
            </w:r>
          </w:p>
        </w:tc>
      </w:tr>
    </w:tbl>
    <w:p w:rsidR="00764E77" w:rsidP="00764E77" w:rsidRDefault="00764E77" w14:paraId="535B1C57" w14:textId="77777777">
      <w:pPr>
        <w:ind w:firstLine="720"/>
        <w:jc w:val="both"/>
        <w:rPr>
          <w:rFonts w:ascii="Times New Roman" w:hAnsi="Times New Roman"/>
          <w:sz w:val="28"/>
          <w:szCs w:val="28"/>
        </w:rPr>
      </w:pPr>
    </w:p>
    <w:p w:rsidR="00764E77" w:rsidP="00764E77" w:rsidRDefault="00764E77" w14:paraId="2AB7EB05" w14:textId="4A800D2B">
      <w:pPr>
        <w:ind w:firstLine="720"/>
        <w:jc w:val="both"/>
        <w:rPr>
          <w:rFonts w:ascii="Times New Roman" w:hAnsi="Times New Roman"/>
          <w:sz w:val="28"/>
          <w:szCs w:val="28"/>
        </w:rPr>
      </w:pPr>
      <w:r>
        <w:rPr>
          <w:rFonts w:ascii="Times New Roman" w:hAnsi="Times New Roman"/>
          <w:sz w:val="28"/>
          <w:szCs w:val="28"/>
        </w:rPr>
        <w:t xml:space="preserve">Latvijas Pašvaldību savienība (LPS) ir izvērtējusi un nesaskaņo likumprojektu “Grozījumi Bāriņtiesu likumā” (VSS-636)  (turpmāk </w:t>
      </w:r>
      <w:r w:rsidR="002907BE">
        <w:rPr>
          <w:rFonts w:ascii="Times New Roman" w:hAnsi="Times New Roman"/>
          <w:sz w:val="28"/>
          <w:szCs w:val="28"/>
        </w:rPr>
        <w:t>-</w:t>
      </w:r>
      <w:r>
        <w:rPr>
          <w:rFonts w:ascii="Times New Roman" w:hAnsi="Times New Roman"/>
          <w:sz w:val="28"/>
          <w:szCs w:val="28"/>
        </w:rPr>
        <w:t xml:space="preserve"> likumprojekts) un tā sākotnējās ietekmes novērtējuma ziņojumu (anotāciju),</w:t>
      </w:r>
      <w:r w:rsidR="002907BE">
        <w:rPr>
          <w:rFonts w:ascii="Times New Roman" w:hAnsi="Times New Roman"/>
          <w:sz w:val="28"/>
          <w:szCs w:val="28"/>
        </w:rPr>
        <w:t xml:space="preserve"> </w:t>
      </w:r>
      <w:r>
        <w:rPr>
          <w:rFonts w:ascii="Times New Roman" w:hAnsi="Times New Roman"/>
          <w:sz w:val="28"/>
          <w:szCs w:val="28"/>
        </w:rPr>
        <w:t>jo ir šādi iebildumi</w:t>
      </w:r>
      <w:r w:rsidR="002907BE">
        <w:rPr>
          <w:rFonts w:ascii="Times New Roman" w:hAnsi="Times New Roman"/>
          <w:sz w:val="28"/>
          <w:szCs w:val="28"/>
        </w:rPr>
        <w:t>:</w:t>
      </w:r>
    </w:p>
    <w:p w:rsidR="00764E77" w:rsidP="00764E77" w:rsidRDefault="00764E77" w14:paraId="6CBFDAAF" w14:textId="11560DCF">
      <w:pPr>
        <w:pStyle w:val="Sarakstarindkopa"/>
        <w:numPr>
          <w:ilvl w:val="0"/>
          <w:numId w:val="2"/>
        </w:numPr>
        <w:ind w:left="0" w:firstLine="709"/>
        <w:jc w:val="both"/>
        <w:rPr>
          <w:rFonts w:ascii="Times New Roman" w:hAnsi="Times New Roman"/>
          <w:sz w:val="28"/>
          <w:szCs w:val="28"/>
        </w:rPr>
      </w:pPr>
      <w:r>
        <w:rPr>
          <w:rFonts w:ascii="Times New Roman" w:hAnsi="Times New Roman"/>
          <w:sz w:val="28"/>
          <w:szCs w:val="28"/>
        </w:rPr>
        <w:t xml:space="preserve">LPS nevar piekrist, ka likumdevējs bāriņtiesām ir uzdevis veikt tām netipisku funkciju – sniegt palīdzību mantojuma lietu kārtošanā, gādāt par mantojuma apsardzību, izdarīt apliecinājumus (turpmāk visi – apliecinājumi vai notariālie apliecinājumi) un pildīt citus likumā norādītos uzdevumus. Vēsturiski, atskatoties bāriņtiesu vēsturē, bāriņtiesu funkcijas attiecībā uz apliecinājumu izdarīšanu pilsētās un laukos atšķīrās. Šīs atšķirības ir ievērotas, likumdevējam lemjot par bāriņtiesu funkcijām un uzdevumiem. Notariālā funkcija ir valsts ekskluzīvā kompetence, kas sadalīta starp zvērinātiem notāriem un bāriņtiesām. Apliecinājumu izdarīšanas iespēja bāriņtiesās nav bez pamata. Šāda likumdevēja izvēle pamatota ar to, lai iedzīvotājiem būtu pieejami notariālie apliecinājumi teritorijās, kur notārs nav pieejams, tādējādi padarot šo pakalpojumu pieejamu iedzīvotājiem, nevis </w:t>
      </w:r>
      <w:r>
        <w:rPr>
          <w:rFonts w:ascii="Times New Roman" w:hAnsi="Times New Roman"/>
          <w:i/>
          <w:iCs/>
          <w:sz w:val="28"/>
          <w:szCs w:val="28"/>
        </w:rPr>
        <w:t>“vienkāršot pašvaldības iedzīvotājiem juridisko lietu kārtošanu”,</w:t>
      </w:r>
      <w:r>
        <w:rPr>
          <w:rFonts w:ascii="Times New Roman" w:hAnsi="Times New Roman"/>
          <w:sz w:val="28"/>
          <w:szCs w:val="28"/>
        </w:rPr>
        <w:t xml:space="preserve"> kā tas ir norādīts anotācijas 2.lpp. Lai arī monopolu uz notariālo apliecinājumu veikšanu vēlas pārņemt, zvērināti notāri apliecinot, ka pakalpojums tiks nodrošināts, kā arī tiks sniegti atvieglojumi trūcīgām vai maznodrošinātām personām, tomēr anotācijas pielikumā piedāvātais notāru pārklājums nav optimāls, nemaz nerunājot par to, ka, piemēram, Gulbenes novadā zvērināts notārs ir pieejams tikai vienu dienu nedēļā, bet novadā uz 2019.gada 1.janvāri bija 20</w:t>
      </w:r>
      <w:r w:rsidR="002907BE">
        <w:rPr>
          <w:rFonts w:ascii="Times New Roman" w:hAnsi="Times New Roman"/>
          <w:sz w:val="28"/>
          <w:szCs w:val="28"/>
        </w:rPr>
        <w:t> </w:t>
      </w:r>
      <w:r>
        <w:rPr>
          <w:rFonts w:ascii="Times New Roman" w:hAnsi="Times New Roman"/>
          <w:sz w:val="28"/>
          <w:szCs w:val="28"/>
        </w:rPr>
        <w:t>079</w:t>
      </w:r>
      <w:r w:rsidR="002907BE">
        <w:rPr>
          <w:rFonts w:ascii="Times New Roman" w:hAnsi="Times New Roman"/>
          <w:sz w:val="28"/>
          <w:szCs w:val="28"/>
        </w:rPr>
        <w:t xml:space="preserve"> iedzīvotāji</w:t>
      </w:r>
      <w:r>
        <w:rPr>
          <w:rFonts w:ascii="Times New Roman" w:hAnsi="Times New Roman"/>
          <w:sz w:val="28"/>
          <w:szCs w:val="28"/>
        </w:rPr>
        <w:t xml:space="preserve">. Tādējādi nav pārliecības par to, ka pakalpojums ir pieejams pietiekamā apjomā. </w:t>
      </w:r>
    </w:p>
    <w:p w:rsidR="00764E77" w:rsidP="00764E77" w:rsidRDefault="00764E77" w14:paraId="17354A70" w14:textId="77777777">
      <w:pPr>
        <w:pStyle w:val="Sarakstarindkopa"/>
        <w:numPr>
          <w:ilvl w:val="0"/>
          <w:numId w:val="2"/>
        </w:numPr>
        <w:ind w:left="0" w:firstLine="709"/>
        <w:jc w:val="both"/>
        <w:rPr>
          <w:rFonts w:ascii="Times New Roman" w:hAnsi="Times New Roman"/>
          <w:sz w:val="28"/>
          <w:szCs w:val="28"/>
        </w:rPr>
      </w:pPr>
      <w:r>
        <w:rPr>
          <w:rFonts w:ascii="Times New Roman" w:hAnsi="Times New Roman"/>
          <w:sz w:val="28"/>
          <w:szCs w:val="28"/>
        </w:rPr>
        <w:t xml:space="preserve">Bāriņtiesās sniegto notariālo apliecinājumu izmaksas ir zemākas, un tādējādi pieejami arī tai sabiedrības daļai, kura neatbilst trūcīgas vai maznodrošinātas personas statusam.  Šajā gadījumā nerunājam par darījumiem ar nekustamajiem īpašumiem, bet cita veida apliecinājumiem, piemēram, </w:t>
      </w:r>
      <w:r>
        <w:rPr>
          <w:rFonts w:ascii="Times New Roman" w:hAnsi="Times New Roman"/>
          <w:sz w:val="28"/>
          <w:szCs w:val="28"/>
        </w:rPr>
        <w:lastRenderedPageBreak/>
        <w:t>pilnvarām. Nenoliedzami arī bāriņtiesās izdarāmo apliecinājumu takses būtu jāpārskata. Iespējams, ka jautājums par bāriņtiesās veicamo apliecinājumu taksēm ir jāizņem no likuma regulējuma un jānodod pašvaldībām tiesības šīs takses noteikt saistošajos noteikumos, kas dotu iespēju pašvaldībām atbilstoši tās regulāri aktualizēt. Regulāri aktualizējot bāriņtiesu takses tiktu novērstas arī bažas, ka apliecinājumu izdarīšanu sedz visi nodokļu maksātāji.</w:t>
      </w:r>
    </w:p>
    <w:p w:rsidR="00764E77" w:rsidP="00764E77" w:rsidRDefault="00764E77" w14:paraId="72755CA9" w14:textId="4449BE52">
      <w:pPr>
        <w:pStyle w:val="Sarakstarindkopa"/>
        <w:numPr>
          <w:ilvl w:val="0"/>
          <w:numId w:val="2"/>
        </w:numPr>
        <w:ind w:left="0" w:firstLine="709"/>
        <w:jc w:val="both"/>
        <w:rPr>
          <w:rFonts w:ascii="Times New Roman" w:hAnsi="Times New Roman"/>
          <w:sz w:val="28"/>
          <w:szCs w:val="28"/>
        </w:rPr>
      </w:pPr>
      <w:r>
        <w:rPr>
          <w:rFonts w:ascii="Times New Roman" w:hAnsi="Times New Roman"/>
          <w:sz w:val="28"/>
          <w:szCs w:val="28"/>
        </w:rPr>
        <w:t xml:space="preserve">Anotācijas 5.lpp. ir norādīts, ka </w:t>
      </w:r>
      <w:r>
        <w:rPr>
          <w:rFonts w:ascii="Times New Roman" w:hAnsi="Times New Roman"/>
          <w:i/>
          <w:iCs/>
          <w:sz w:val="28"/>
          <w:szCs w:val="28"/>
        </w:rPr>
        <w:t>“saskaņā ar Labklājības ministrijas  informatīvajā ziņojumā  “Par bērnu tiesību  aizsardzības sistēmas  pilnveidi” norādīto  virkne pārkāpumu bāriņtiesu darbībā  tiek konstatēti tā iemesla dēļ , ka darbiniekiem joprojām trūkst juridisku un praktisku zināšanu  dažādu situāciju risināšanā un normatīvo aktu pemeŗošanā</w:t>
      </w:r>
      <w:r>
        <w:rPr>
          <w:rFonts w:ascii="Times New Roman" w:hAnsi="Times New Roman"/>
          <w:i/>
          <w:iCs/>
          <w:sz w:val="28"/>
          <w:szCs w:val="28"/>
          <w:vertAlign w:val="superscript"/>
        </w:rPr>
        <w:t>3</w:t>
      </w:r>
      <w:r>
        <w:rPr>
          <w:rFonts w:ascii="Times New Roman" w:hAnsi="Times New Roman"/>
          <w:i/>
          <w:iCs/>
          <w:sz w:val="28"/>
          <w:szCs w:val="28"/>
        </w:rPr>
        <w:t xml:space="preserve">. Attiecīgi izdarāms pieņēmums, ka arī apliecinājumu izdarīšana bāriņtiesās, kas ir sekundāra bāriņtiesu  funkcija, var tikt veikta nepietiekamā kvalitātē.”. </w:t>
      </w:r>
      <w:r>
        <w:rPr>
          <w:rFonts w:ascii="Times New Roman" w:hAnsi="Times New Roman"/>
          <w:sz w:val="28"/>
          <w:szCs w:val="28"/>
        </w:rPr>
        <w:t xml:space="preserve"> LPS iebilst šā citāta izmantošanai šā likumprojekta anotācijā, kā arī iebilstam izdarītajam pieņēmumam. Attiecībā uz bāriņtiesu darba kvalitāti ļoti būtiska loma ir regulārām apmācībām un metodiskajai vadībai, lai tiktu uzturēta kvalifikācija un uzlabots bāriņtiesu sniegums. Diemžēl metodiskā vadība nav bijusi pietiekama ne no Labklājības ministrijas, ne no Valsts bērnu tiesību aizsardzības inspekcijas. Savukārt attiecībā uz notariālo apliecinājumu jomu metodiskā vadība ir no Tieslietu ministrijas un šajā sadaļā bāriņtiesu sniegumā problēmas nav saskatītas. Tāpat formāla izglītības prasība kvalitātes </w:t>
      </w:r>
      <w:proofErr w:type="spellStart"/>
      <w:r>
        <w:rPr>
          <w:rFonts w:ascii="Times New Roman" w:hAnsi="Times New Roman"/>
          <w:sz w:val="28"/>
          <w:szCs w:val="28"/>
        </w:rPr>
        <w:t>problēmjautājumus</w:t>
      </w:r>
      <w:proofErr w:type="spellEnd"/>
      <w:r>
        <w:rPr>
          <w:rFonts w:ascii="Times New Roman" w:hAnsi="Times New Roman"/>
          <w:sz w:val="28"/>
          <w:szCs w:val="28"/>
        </w:rPr>
        <w:t xml:space="preserve"> neatrisinās. Ņemot vērā minēto</w:t>
      </w:r>
      <w:r w:rsidR="00742A83">
        <w:rPr>
          <w:rFonts w:ascii="Times New Roman" w:hAnsi="Times New Roman"/>
          <w:sz w:val="28"/>
          <w:szCs w:val="28"/>
        </w:rPr>
        <w:t>,</w:t>
      </w:r>
      <w:r>
        <w:rPr>
          <w:rFonts w:ascii="Times New Roman" w:hAnsi="Times New Roman"/>
          <w:sz w:val="28"/>
          <w:szCs w:val="28"/>
        </w:rPr>
        <w:t xml:space="preserve"> lūdzam precizēt anotāciju šajā sadaļā, kā arī pievienot konkrētu </w:t>
      </w:r>
      <w:proofErr w:type="spellStart"/>
      <w:r>
        <w:rPr>
          <w:rFonts w:ascii="Times New Roman" w:hAnsi="Times New Roman"/>
          <w:sz w:val="28"/>
          <w:szCs w:val="28"/>
        </w:rPr>
        <w:t>izvērtējumu</w:t>
      </w:r>
      <w:proofErr w:type="spellEnd"/>
      <w:r>
        <w:rPr>
          <w:rFonts w:ascii="Times New Roman" w:hAnsi="Times New Roman"/>
          <w:sz w:val="28"/>
          <w:szCs w:val="28"/>
        </w:rPr>
        <w:t xml:space="preserve"> tam, ka bāriņtiesu sniegums apliecinājumu jomā ir neapmierinošs un nekvalitatīvs. </w:t>
      </w:r>
    </w:p>
    <w:p w:rsidR="00764E77" w:rsidP="00764E77" w:rsidRDefault="00764E77" w14:paraId="1B70C585" w14:textId="77777777">
      <w:pPr>
        <w:pStyle w:val="Sarakstarindkopa"/>
        <w:numPr>
          <w:ilvl w:val="0"/>
          <w:numId w:val="2"/>
        </w:numPr>
        <w:ind w:left="0" w:firstLine="709"/>
        <w:jc w:val="both"/>
        <w:rPr>
          <w:rFonts w:ascii="Times New Roman" w:hAnsi="Times New Roman"/>
          <w:sz w:val="28"/>
          <w:szCs w:val="28"/>
        </w:rPr>
      </w:pPr>
      <w:r>
        <w:rPr>
          <w:rFonts w:ascii="Times New Roman" w:hAnsi="Times New Roman"/>
          <w:sz w:val="28"/>
          <w:szCs w:val="28"/>
        </w:rPr>
        <w:t>Anotācijas 6.lpp. tiek dotas atsauces uz Krievijas impērijas  (cara laika) notāru nolikumu, kā vēsturisku vērtību, savukārt šā paša laika izcelsmes likumi bāriņtiesu kontekstā tiek uzskatīti par novecojušiem un nevērtīgiem. Lūdzam precizēt anotācijā izmantotos citātus izteiksmes formas.</w:t>
      </w:r>
    </w:p>
    <w:p w:rsidRPr="00934EE8" w:rsidR="00742A83" w:rsidP="00934EE8" w:rsidRDefault="00764E77" w14:paraId="6CCD7789" w14:textId="77777777">
      <w:pPr>
        <w:pStyle w:val="Sarakstarindkopa"/>
        <w:numPr>
          <w:ilvl w:val="0"/>
          <w:numId w:val="2"/>
        </w:numPr>
        <w:ind w:left="0" w:firstLine="709"/>
        <w:jc w:val="both"/>
        <w:rPr>
          <w:rFonts w:ascii="Times New Roman" w:hAnsi="Times New Roman" w:cs="Times New Roman"/>
          <w:i/>
          <w:iCs/>
          <w:color w:val="000000" w:themeColor="text1"/>
          <w:sz w:val="28"/>
          <w:szCs w:val="28"/>
        </w:rPr>
      </w:pPr>
      <w:r>
        <w:rPr>
          <w:rFonts w:ascii="Times New Roman" w:hAnsi="Times New Roman"/>
          <w:sz w:val="28"/>
          <w:szCs w:val="28"/>
        </w:rPr>
        <w:t xml:space="preserve"> Anotācijas 6.lpp. norādīts, ka </w:t>
      </w:r>
      <w:r>
        <w:rPr>
          <w:rFonts w:ascii="Times New Roman" w:hAnsi="Times New Roman"/>
          <w:i/>
          <w:iCs/>
          <w:sz w:val="28"/>
          <w:szCs w:val="28"/>
        </w:rPr>
        <w:t xml:space="preserve">“notariālās lietas saistītas ar risku, ka kļūdas gadījumā personai, kas vērsusies pie zvērināta notāra pēc palīdzības, var </w:t>
      </w:r>
      <w:r w:rsidRPr="00764E77">
        <w:rPr>
          <w:rFonts w:ascii="Times New Roman" w:hAnsi="Times New Roman" w:cs="Times New Roman"/>
          <w:i/>
          <w:iCs/>
          <w:color w:val="000000" w:themeColor="text1"/>
          <w:sz w:val="28"/>
          <w:szCs w:val="28"/>
        </w:rPr>
        <w:t>rasties materiāli zaudējumi, tāpēc pamatoti zvērinātu notāru darbībai ir iedibināts nodrošinājums. Šāds regulējums nav paredzēts bāriņtiesām.”</w:t>
      </w:r>
      <w:r w:rsidRPr="00764E77">
        <w:rPr>
          <w:rFonts w:ascii="Times New Roman" w:hAnsi="Times New Roman" w:cs="Times New Roman"/>
          <w:color w:val="000000" w:themeColor="text1"/>
          <w:sz w:val="28"/>
          <w:szCs w:val="28"/>
        </w:rPr>
        <w:t xml:space="preserve">. LPS šim apgalvojumam nevar piekrist. Bāriņtiesas ir pašvaldības dibinātas iestādes. Valsts pārvaldes iestāžu nodarīto zaudējumu atlīdzināšanas likuma mērķis ir </w:t>
      </w:r>
      <w:r w:rsidRPr="00764E77">
        <w:rPr>
          <w:rFonts w:ascii="Times New Roman" w:hAnsi="Times New Roman" w:cs="Times New Roman"/>
          <w:color w:val="000000" w:themeColor="text1"/>
          <w:sz w:val="28"/>
          <w:szCs w:val="28"/>
          <w:shd w:val="clear" w:color="auto" w:fill="FFFFFF"/>
        </w:rPr>
        <w:t xml:space="preserve"> nodrošināt privātpersonai </w:t>
      </w:r>
      <w:r w:rsidRPr="00764E77">
        <w:rPr>
          <w:rFonts w:ascii="Times New Roman" w:hAnsi="Times New Roman" w:cs="Times New Roman"/>
          <w:sz w:val="28"/>
          <w:szCs w:val="28"/>
        </w:rPr>
        <w:t>Satversmē</w:t>
      </w:r>
      <w:r w:rsidRPr="00764E77">
        <w:rPr>
          <w:rFonts w:ascii="Times New Roman" w:hAnsi="Times New Roman" w:cs="Times New Roman"/>
          <w:sz w:val="28"/>
          <w:szCs w:val="28"/>
          <w:shd w:val="clear" w:color="auto" w:fill="FFFFFF"/>
        </w:rPr>
        <w:t xml:space="preserve"> un </w:t>
      </w:r>
      <w:r w:rsidRPr="00764E77">
        <w:rPr>
          <w:rFonts w:ascii="Times New Roman" w:hAnsi="Times New Roman" w:cs="Times New Roman"/>
          <w:sz w:val="28"/>
          <w:szCs w:val="28"/>
        </w:rPr>
        <w:t>Administratīvā procesa likumā</w:t>
      </w:r>
      <w:r w:rsidRPr="00764E77">
        <w:rPr>
          <w:rFonts w:ascii="Times New Roman" w:hAnsi="Times New Roman" w:cs="Times New Roman"/>
          <w:sz w:val="28"/>
          <w:szCs w:val="28"/>
          <w:shd w:val="clear" w:color="auto" w:fill="FFFFFF"/>
        </w:rPr>
        <w:t xml:space="preserve"> noteiktās tiesības uz atbilstīgu atlīdzinājumu par mantisko zaudējumu vai nemantisko </w:t>
      </w:r>
      <w:r w:rsidRPr="00934EE8">
        <w:rPr>
          <w:rFonts w:ascii="Times New Roman" w:hAnsi="Times New Roman" w:cs="Times New Roman"/>
          <w:color w:val="000000" w:themeColor="text1"/>
          <w:sz w:val="28"/>
          <w:szCs w:val="28"/>
          <w:shd w:val="clear" w:color="auto" w:fill="FFFFFF"/>
        </w:rPr>
        <w:t>kaitējumu, kas tai nodarīts ar valsts pārvaldes iestādes prettiesisku administratīvo aktu vai prettiesisku faktisko rīcību.</w:t>
      </w:r>
      <w:r w:rsidRPr="00934EE8">
        <w:rPr>
          <w:rFonts w:ascii="Times New Roman" w:hAnsi="Times New Roman" w:cs="Times New Roman"/>
          <w:color w:val="000000" w:themeColor="text1"/>
          <w:sz w:val="28"/>
          <w:szCs w:val="28"/>
        </w:rPr>
        <w:t xml:space="preserve"> Šajā likumā lietotais termins “valsts pārvalde” aptver arī pašvaldības un to iestādes, tātad arī bāriņtiesu. </w:t>
      </w:r>
    </w:p>
    <w:p w:rsidRPr="00766B6D" w:rsidR="00772A3B" w:rsidP="00934EE8" w:rsidRDefault="00764E77" w14:paraId="0FB5EE56" w14:textId="32D692E0">
      <w:pPr>
        <w:pStyle w:val="Sarakstarindkopa"/>
        <w:numPr>
          <w:ilvl w:val="0"/>
          <w:numId w:val="2"/>
        </w:numPr>
        <w:ind w:left="0" w:firstLine="709"/>
        <w:jc w:val="both"/>
        <w:rPr>
          <w:rFonts w:ascii="Times New Roman" w:hAnsi="Times New Roman" w:cs="Times New Roman"/>
          <w:i/>
          <w:iCs/>
          <w:color w:val="000000" w:themeColor="text1"/>
          <w:sz w:val="28"/>
          <w:szCs w:val="28"/>
        </w:rPr>
      </w:pPr>
      <w:r w:rsidRPr="00766B6D">
        <w:rPr>
          <w:rFonts w:ascii="Times New Roman" w:hAnsi="Times New Roman" w:cs="Times New Roman"/>
          <w:color w:val="000000" w:themeColor="text1"/>
          <w:sz w:val="28"/>
          <w:szCs w:val="28"/>
        </w:rPr>
        <w:t xml:space="preserve">Tāpat anotācijas </w:t>
      </w:r>
      <w:r w:rsidRPr="00766B6D" w:rsidR="0080486C">
        <w:rPr>
          <w:rFonts w:ascii="Times New Roman" w:hAnsi="Times New Roman" w:cs="Times New Roman"/>
          <w:color w:val="000000" w:themeColor="text1"/>
          <w:sz w:val="28"/>
          <w:szCs w:val="28"/>
        </w:rPr>
        <w:t>7</w:t>
      </w:r>
      <w:r w:rsidRPr="00766B6D">
        <w:rPr>
          <w:rFonts w:ascii="Times New Roman" w:hAnsi="Times New Roman" w:cs="Times New Roman"/>
          <w:color w:val="000000" w:themeColor="text1"/>
          <w:sz w:val="28"/>
          <w:szCs w:val="28"/>
        </w:rPr>
        <w:t>.lpp</w:t>
      </w:r>
      <w:r w:rsidRPr="00766B6D" w:rsidR="00797634">
        <w:rPr>
          <w:rFonts w:ascii="Times New Roman" w:hAnsi="Times New Roman" w:cs="Times New Roman"/>
          <w:color w:val="000000" w:themeColor="text1"/>
          <w:sz w:val="28"/>
          <w:szCs w:val="28"/>
        </w:rPr>
        <w:t xml:space="preserve">. </w:t>
      </w:r>
      <w:r w:rsidRPr="00766B6D" w:rsidR="0080486C">
        <w:rPr>
          <w:rFonts w:ascii="Times New Roman" w:hAnsi="Times New Roman" w:cs="Times New Roman"/>
          <w:color w:val="000000" w:themeColor="text1"/>
          <w:sz w:val="28"/>
          <w:szCs w:val="28"/>
        </w:rPr>
        <w:t xml:space="preserve">tiek norādīts, ka </w:t>
      </w:r>
      <w:r w:rsidRPr="00766B6D" w:rsidR="0080486C">
        <w:rPr>
          <w:rFonts w:ascii="Times New Roman" w:hAnsi="Times New Roman" w:cs="Times New Roman"/>
          <w:i/>
          <w:iCs/>
          <w:color w:val="000000" w:themeColor="text1"/>
          <w:sz w:val="28"/>
          <w:szCs w:val="28"/>
        </w:rPr>
        <w:t>“iespējamais kļūdas risks ir liels, jo bāriņtiesas  priekšsēdētāja kandidātam nav izvirzīti  zināšanu un izglītības cenzi, kādi ir zvērināta notāra amata pretendentam”</w:t>
      </w:r>
      <w:r w:rsidRPr="00766B6D" w:rsidR="00772A3B">
        <w:rPr>
          <w:rFonts w:ascii="Times New Roman" w:hAnsi="Times New Roman" w:cs="Times New Roman"/>
          <w:i/>
          <w:iCs/>
          <w:color w:val="000000" w:themeColor="text1"/>
          <w:sz w:val="28"/>
          <w:szCs w:val="28"/>
        </w:rPr>
        <w:t>. Bāriņtiesu likuma 10. pants redakcijā no 2021.gada 1. janvāra nosaka, ka p</w:t>
      </w:r>
      <w:r w:rsidRPr="00766B6D" w:rsidR="00772A3B">
        <w:rPr>
          <w:rFonts w:ascii="Times New Roman" w:hAnsi="Times New Roman" w:cs="Times New Roman"/>
          <w:color w:val="000000" w:themeColor="text1"/>
          <w:sz w:val="28"/>
          <w:szCs w:val="28"/>
        </w:rPr>
        <w:t>ar bāriņtiesas priekšsēdētāju un bāriņtiesas priekšsēdētāja vietnieku var ievēlēt personu:</w:t>
      </w:r>
    </w:p>
    <w:p w:rsidRPr="00766B6D" w:rsidR="00772A3B" w:rsidP="00934EE8" w:rsidRDefault="00772A3B" w14:paraId="51851FAD" w14:textId="77777777">
      <w:pPr>
        <w:pStyle w:val="tv213"/>
        <w:spacing w:before="0" w:beforeAutospacing="0" w:after="0" w:afterAutospacing="0"/>
        <w:ind w:left="600" w:firstLine="300"/>
        <w:jc w:val="both"/>
        <w:rPr>
          <w:color w:val="000000" w:themeColor="text1"/>
          <w:sz w:val="28"/>
          <w:szCs w:val="28"/>
        </w:rPr>
      </w:pPr>
      <w:r w:rsidRPr="00766B6D">
        <w:rPr>
          <w:color w:val="000000" w:themeColor="text1"/>
          <w:sz w:val="28"/>
          <w:szCs w:val="28"/>
        </w:rPr>
        <w:lastRenderedPageBreak/>
        <w:t xml:space="preserve">1) kura ir Latvijas Republikas pilsonis vai </w:t>
      </w:r>
      <w:proofErr w:type="spellStart"/>
      <w:r w:rsidRPr="00766B6D">
        <w:rPr>
          <w:color w:val="000000" w:themeColor="text1"/>
          <w:sz w:val="28"/>
          <w:szCs w:val="28"/>
        </w:rPr>
        <w:t>nepilsonis</w:t>
      </w:r>
      <w:proofErr w:type="spellEnd"/>
      <w:r w:rsidRPr="00766B6D">
        <w:rPr>
          <w:color w:val="000000" w:themeColor="text1"/>
          <w:sz w:val="28"/>
          <w:szCs w:val="28"/>
        </w:rPr>
        <w:t>;</w:t>
      </w:r>
    </w:p>
    <w:p w:rsidRPr="00766B6D" w:rsidR="00772A3B" w:rsidP="00934EE8" w:rsidRDefault="00772A3B" w14:paraId="7B1CFFCB" w14:textId="77777777">
      <w:pPr>
        <w:pStyle w:val="tv213"/>
        <w:spacing w:before="0" w:beforeAutospacing="0" w:after="0" w:afterAutospacing="0"/>
        <w:ind w:left="600" w:firstLine="300"/>
        <w:jc w:val="both"/>
        <w:rPr>
          <w:color w:val="000000" w:themeColor="text1"/>
          <w:sz w:val="28"/>
          <w:szCs w:val="28"/>
        </w:rPr>
      </w:pPr>
      <w:r w:rsidRPr="00766B6D">
        <w:rPr>
          <w:color w:val="000000" w:themeColor="text1"/>
          <w:sz w:val="28"/>
          <w:szCs w:val="28"/>
        </w:rPr>
        <w:t>2) kura sasniegusi 30 gadu vecumu;</w:t>
      </w:r>
    </w:p>
    <w:p w:rsidRPr="00766B6D" w:rsidR="00772A3B" w:rsidP="00934EE8" w:rsidRDefault="00772A3B" w14:paraId="228E07AF"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 xml:space="preserve">3) kura ieguvusi vismaz akadēmisko maģistra grādu vai profesionālo maģistra grādu un atbilstošu profesionālo kvalifikāciju vai citu Latvijas izglītības klasifikācijā noteiktajam Eiropas kvalifikācijas </w:t>
      </w:r>
      <w:proofErr w:type="spellStart"/>
      <w:r w:rsidRPr="00766B6D">
        <w:rPr>
          <w:color w:val="000000" w:themeColor="text1"/>
          <w:sz w:val="28"/>
          <w:szCs w:val="28"/>
        </w:rPr>
        <w:t>ietvarstruktūras</w:t>
      </w:r>
      <w:proofErr w:type="spellEnd"/>
      <w:r w:rsidRPr="00766B6D">
        <w:rPr>
          <w:color w:val="000000" w:themeColor="text1"/>
          <w:sz w:val="28"/>
          <w:szCs w:val="28"/>
        </w:rPr>
        <w:t xml:space="preserve"> 7.līmenim atbilstošu kvalifikāciju pedagoģijā, psiholoģijā, medicīnā, sociālajā darbā vai tiesību zinātnē un kurai ir ne mazāk kā piecu gadu darba stāžs attiecīgajā specialitātē;</w:t>
      </w:r>
    </w:p>
    <w:p w:rsidRPr="00766B6D" w:rsidR="00772A3B" w:rsidP="00934EE8" w:rsidRDefault="00772A3B" w14:paraId="3DC97EA5"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4) kura prot valsts valodu augstākajā līmenī;</w:t>
      </w:r>
    </w:p>
    <w:p w:rsidRPr="00766B6D" w:rsidR="00772A3B" w:rsidP="00934EE8" w:rsidRDefault="00772A3B" w14:paraId="760C5103" w14:textId="1B83502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5) kurai ir nevainojama reputācija.</w:t>
      </w:r>
    </w:p>
    <w:p w:rsidRPr="00766B6D" w:rsidR="00772A3B" w:rsidP="00934EE8" w:rsidRDefault="00772A3B" w14:paraId="570D2ABB" w14:textId="3C696BAE">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Savukārt par bāriņtiesas locekli var ievēlēt personu:</w:t>
      </w:r>
    </w:p>
    <w:p w:rsidRPr="00766B6D" w:rsidR="00772A3B" w:rsidP="00934EE8" w:rsidRDefault="00772A3B" w14:paraId="2F2D19AF"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 xml:space="preserve">1) kura ir Latvijas Republikas pilsonis vai </w:t>
      </w:r>
      <w:proofErr w:type="spellStart"/>
      <w:r w:rsidRPr="00766B6D">
        <w:rPr>
          <w:color w:val="000000" w:themeColor="text1"/>
          <w:sz w:val="28"/>
          <w:szCs w:val="28"/>
        </w:rPr>
        <w:t>nepilsonis</w:t>
      </w:r>
      <w:proofErr w:type="spellEnd"/>
      <w:r w:rsidRPr="00766B6D">
        <w:rPr>
          <w:color w:val="000000" w:themeColor="text1"/>
          <w:sz w:val="28"/>
          <w:szCs w:val="28"/>
        </w:rPr>
        <w:t>;</w:t>
      </w:r>
    </w:p>
    <w:p w:rsidRPr="00766B6D" w:rsidR="00772A3B" w:rsidP="00934EE8" w:rsidRDefault="00772A3B" w14:paraId="703F0891"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2) kura sasniegusi 30 gadu vecumu;</w:t>
      </w:r>
    </w:p>
    <w:p w:rsidRPr="00766B6D" w:rsidR="00772A3B" w:rsidP="00934EE8" w:rsidRDefault="00772A3B" w14:paraId="3D389325"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 xml:space="preserve">3) kura ieguvusi vismaz akadēmisko bakalaura grādu vai profesionālo bakalaura grādu un atbilstošu profesionālo kvalifikāciju vai citu Latvijas izglītības klasifikācijā noteiktajam Eiropas kvalifikācijas </w:t>
      </w:r>
      <w:proofErr w:type="spellStart"/>
      <w:r w:rsidRPr="00766B6D">
        <w:rPr>
          <w:color w:val="000000" w:themeColor="text1"/>
          <w:sz w:val="28"/>
          <w:szCs w:val="28"/>
        </w:rPr>
        <w:t>ietvarstruktūras</w:t>
      </w:r>
      <w:proofErr w:type="spellEnd"/>
      <w:r w:rsidRPr="00766B6D">
        <w:rPr>
          <w:color w:val="000000" w:themeColor="text1"/>
          <w:sz w:val="28"/>
          <w:szCs w:val="28"/>
        </w:rPr>
        <w:t xml:space="preserve"> 6.līmenim atbilstošu kvalifikāciju pedagoģijā, psiholoģijā, medicīnā, sociālajā darbā vai tiesību zinātnē un kurai ir ne mazāk kā triju gadu darba stāžs attiecīgajā specialitātē;</w:t>
      </w:r>
    </w:p>
    <w:p w:rsidRPr="00766B6D" w:rsidR="00772A3B" w:rsidP="00934EE8" w:rsidRDefault="00772A3B" w14:paraId="3E71BEA5"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4) kura prot valsts valodu augstākajā līmenī;</w:t>
      </w:r>
    </w:p>
    <w:p w:rsidRPr="00766B6D" w:rsidR="00772A3B" w:rsidP="00934EE8" w:rsidRDefault="00772A3B" w14:paraId="2CAB8F5E" w14:textId="77777777">
      <w:pPr>
        <w:pStyle w:val="tv213"/>
        <w:spacing w:before="0" w:beforeAutospacing="0" w:after="0" w:afterAutospacing="0"/>
        <w:ind w:firstLine="900"/>
        <w:jc w:val="both"/>
        <w:rPr>
          <w:color w:val="000000" w:themeColor="text1"/>
          <w:sz w:val="28"/>
          <w:szCs w:val="28"/>
        </w:rPr>
      </w:pPr>
      <w:r w:rsidRPr="00766B6D">
        <w:rPr>
          <w:color w:val="000000" w:themeColor="text1"/>
          <w:sz w:val="28"/>
          <w:szCs w:val="28"/>
        </w:rPr>
        <w:t>5) kurai ir nevainojama reputācija.</w:t>
      </w:r>
    </w:p>
    <w:p w:rsidRPr="00766B6D" w:rsidR="00764E77" w:rsidP="00934EE8" w:rsidRDefault="00772A3B" w14:paraId="16B65E1C" w14:textId="6086B6A3">
      <w:pPr>
        <w:pStyle w:val="tv213"/>
        <w:spacing w:before="0" w:beforeAutospacing="0" w:after="0" w:afterAutospacing="0"/>
        <w:ind w:firstLine="900"/>
        <w:jc w:val="both"/>
        <w:rPr>
          <w:i/>
          <w:iCs/>
          <w:color w:val="000000" w:themeColor="text1"/>
          <w:sz w:val="28"/>
          <w:szCs w:val="28"/>
        </w:rPr>
      </w:pPr>
      <w:r w:rsidRPr="00766B6D">
        <w:rPr>
          <w:color w:val="000000" w:themeColor="text1"/>
          <w:sz w:val="28"/>
          <w:szCs w:val="28"/>
        </w:rPr>
        <w:t xml:space="preserve">Minētās prasības noteiktas ar 2017.gada likuma </w:t>
      </w:r>
      <w:r w:rsidRPr="00766B6D" w:rsidR="00742A83">
        <w:rPr>
          <w:color w:val="000000" w:themeColor="text1"/>
          <w:sz w:val="28"/>
          <w:szCs w:val="28"/>
        </w:rPr>
        <w:t xml:space="preserve">grozījumiem. Atliktais spēkā stāšanās laiks ir noteikts ar mērķi, lai bāriņtiesu locekļi un bāriņtiesu priekšsēdētāji varētu iegūt maģistra grādu. Tādējādi bažas par izglītības prasībām tiek novērstas, jo tās tiek pielīdzinātas izglītības prasībām zvērinātiem notāriem. Līdz ar to lūdzam precizēt anotāciju. Papildus tā kā tiek izteiktas bažas par bāriņtiesu darba kvalitāti, lūdzam anotācijā pievienot konkrētu </w:t>
      </w:r>
      <w:proofErr w:type="spellStart"/>
      <w:r w:rsidRPr="00766B6D" w:rsidR="00742A83">
        <w:rPr>
          <w:color w:val="000000" w:themeColor="text1"/>
          <w:sz w:val="28"/>
          <w:szCs w:val="28"/>
        </w:rPr>
        <w:t>izvērtējumu</w:t>
      </w:r>
      <w:proofErr w:type="spellEnd"/>
      <w:r w:rsidRPr="00766B6D" w:rsidR="00742A83">
        <w:rPr>
          <w:color w:val="000000" w:themeColor="text1"/>
          <w:sz w:val="28"/>
          <w:szCs w:val="28"/>
        </w:rPr>
        <w:t xml:space="preserve"> tam, ka bāriņtiesu sniegums apliecinājumu jomā ir neapmierinošs un nekvalitatīvs. </w:t>
      </w:r>
    </w:p>
    <w:p w:rsidRPr="00766B6D" w:rsidR="00764E77" w:rsidP="00764E77" w:rsidRDefault="00764E77" w14:paraId="6D451563" w14:textId="61AD4DC0">
      <w:pPr>
        <w:pStyle w:val="Sarakstarindkopa"/>
        <w:numPr>
          <w:ilvl w:val="0"/>
          <w:numId w:val="2"/>
        </w:numPr>
        <w:ind w:left="0" w:firstLine="709"/>
        <w:jc w:val="both"/>
        <w:rPr>
          <w:rFonts w:ascii="Times New Roman" w:hAnsi="Times New Roman" w:cs="Times New Roman"/>
          <w:i/>
          <w:iCs/>
          <w:color w:val="000000" w:themeColor="text1"/>
          <w:sz w:val="28"/>
          <w:szCs w:val="28"/>
        </w:rPr>
      </w:pPr>
      <w:r w:rsidRPr="00766B6D">
        <w:rPr>
          <w:rFonts w:ascii="Times New Roman" w:hAnsi="Times New Roman" w:cs="Times New Roman"/>
          <w:color w:val="000000" w:themeColor="text1"/>
          <w:sz w:val="28"/>
          <w:szCs w:val="28"/>
        </w:rPr>
        <w:t xml:space="preserve">Anotācijas 8.lpp. tiek norādīts, ka </w:t>
      </w:r>
      <w:r w:rsidRPr="00766B6D">
        <w:rPr>
          <w:rFonts w:ascii="Times New Roman" w:hAnsi="Times New Roman" w:cs="Times New Roman"/>
          <w:i/>
          <w:iCs/>
          <w:color w:val="000000" w:themeColor="text1"/>
          <w:sz w:val="28"/>
          <w:szCs w:val="28"/>
        </w:rPr>
        <w:t xml:space="preserve">“notariālās palīdzības sniegšanai </w:t>
      </w:r>
      <w:r w:rsidRPr="00766B6D" w:rsidR="00742A83">
        <w:rPr>
          <w:rFonts w:ascii="Times New Roman" w:hAnsi="Times New Roman" w:cs="Times New Roman"/>
          <w:i/>
          <w:iCs/>
          <w:color w:val="000000" w:themeColor="text1"/>
          <w:sz w:val="28"/>
          <w:szCs w:val="28"/>
        </w:rPr>
        <w:t>arvien vairāk nepieciešami dažādi tehnoloģiski risinājumi</w:t>
      </w:r>
      <w:r w:rsidRPr="00766B6D" w:rsidR="00934EE8">
        <w:rPr>
          <w:rFonts w:ascii="Times New Roman" w:hAnsi="Times New Roman" w:cs="Times New Roman"/>
          <w:i/>
          <w:iCs/>
          <w:color w:val="000000" w:themeColor="text1"/>
          <w:sz w:val="28"/>
          <w:szCs w:val="28"/>
        </w:rPr>
        <w:t xml:space="preserve">, kas visām pašvaldību bāriņtiesām nav pieejami un kurus katrai atsevišķi nav finansiāli iespējams nodrošināt, piemēram, ieviešot elektroniskus apliecinājumus, pilnvarojumu reģistrus un nodrošināt Noziedzīgi iegūtu līdzekļu legalizācijas un terorisma un </w:t>
      </w:r>
      <w:proofErr w:type="spellStart"/>
      <w:r w:rsidRPr="00766B6D" w:rsidR="00934EE8">
        <w:rPr>
          <w:rFonts w:ascii="Times New Roman" w:hAnsi="Times New Roman" w:cs="Times New Roman"/>
          <w:i/>
          <w:iCs/>
          <w:color w:val="000000" w:themeColor="text1"/>
          <w:sz w:val="28"/>
          <w:szCs w:val="28"/>
        </w:rPr>
        <w:t>proliferācijas</w:t>
      </w:r>
      <w:proofErr w:type="spellEnd"/>
      <w:r w:rsidRPr="00766B6D" w:rsidR="00934EE8">
        <w:rPr>
          <w:rFonts w:ascii="Times New Roman" w:hAnsi="Times New Roman" w:cs="Times New Roman"/>
          <w:i/>
          <w:iCs/>
          <w:color w:val="000000" w:themeColor="text1"/>
          <w:sz w:val="28"/>
          <w:szCs w:val="28"/>
        </w:rPr>
        <w:t xml:space="preserve"> finansēšanas novēršanas (turpmāk – NILLTPFN) </w:t>
      </w:r>
      <w:r w:rsidRPr="00766B6D" w:rsidR="00934EE8">
        <w:rPr>
          <w:rFonts w:ascii="Times New Roman" w:hAnsi="Times New Roman" w:eastAsia="Times New Roman" w:cs="Times New Roman"/>
          <w:i/>
          <w:iCs/>
          <w:color w:val="000000" w:themeColor="text1"/>
          <w:sz w:val="28"/>
          <w:szCs w:val="28"/>
        </w:rPr>
        <w:t xml:space="preserve">prasību izpildi. Bāriņtiesas veic līdzīgas darbības zvērinātiem notāriem, tomēr atšķirībā no zvērinātiem notāriem bāriņtiesas nav </w:t>
      </w:r>
      <w:bookmarkStart w:name="_Hlk39931581" w:id="1"/>
      <w:r w:rsidRPr="00766B6D" w:rsidR="00934EE8">
        <w:rPr>
          <w:rFonts w:ascii="Times New Roman" w:hAnsi="Times New Roman" w:eastAsia="Times New Roman" w:cs="Times New Roman"/>
          <w:i/>
          <w:iCs/>
          <w:color w:val="000000" w:themeColor="text1"/>
          <w:sz w:val="28"/>
          <w:szCs w:val="28"/>
        </w:rPr>
        <w:t>NILLTPFN</w:t>
      </w:r>
      <w:bookmarkEnd w:id="1"/>
      <w:r w:rsidRPr="00766B6D" w:rsidR="00934EE8">
        <w:rPr>
          <w:rFonts w:ascii="Times New Roman" w:hAnsi="Times New Roman" w:eastAsia="Times New Roman" w:cs="Times New Roman"/>
          <w:i/>
          <w:iCs/>
          <w:color w:val="000000" w:themeColor="text1"/>
          <w:sz w:val="28"/>
          <w:szCs w:val="28"/>
        </w:rPr>
        <w:t xml:space="preserve"> likuma subjekti, tādējādi tām nav uzraudzības un kontroles institūcija, tās nav ieviesušas iekšējās kontroles sistēmas, neveic apmācības par šo jomu un neizpilda citas NILLTPFN likuma prasības. Attiecīgi bāriņtiesām, neesot NILLTPFN likuma subjektiem, ir iespēja apiet noziedzīgi iegūtu līdzekļu legalizācijas un terorisma un </w:t>
      </w:r>
      <w:proofErr w:type="spellStart"/>
      <w:r w:rsidRPr="00766B6D" w:rsidR="00934EE8">
        <w:rPr>
          <w:rFonts w:ascii="Times New Roman" w:hAnsi="Times New Roman" w:eastAsia="Times New Roman" w:cs="Times New Roman"/>
          <w:i/>
          <w:iCs/>
          <w:color w:val="000000" w:themeColor="text1"/>
          <w:sz w:val="28"/>
          <w:szCs w:val="28"/>
        </w:rPr>
        <w:t>proliferācijas</w:t>
      </w:r>
      <w:proofErr w:type="spellEnd"/>
      <w:r w:rsidRPr="00766B6D" w:rsidR="00934EE8">
        <w:rPr>
          <w:rFonts w:ascii="Times New Roman" w:hAnsi="Times New Roman" w:eastAsia="Times New Roman" w:cs="Times New Roman"/>
          <w:i/>
          <w:iCs/>
          <w:color w:val="000000" w:themeColor="text1"/>
          <w:sz w:val="28"/>
          <w:szCs w:val="28"/>
        </w:rPr>
        <w:t xml:space="preserve"> finansēšanas novēršanas mehānismus</w:t>
      </w:r>
      <w:r w:rsidRPr="00766B6D" w:rsidR="00934EE8">
        <w:rPr>
          <w:rFonts w:ascii="Times New Roman" w:hAnsi="Times New Roman" w:cs="Times New Roman"/>
          <w:i/>
          <w:iCs/>
          <w:color w:val="000000" w:themeColor="text1"/>
          <w:sz w:val="28"/>
          <w:szCs w:val="28"/>
        </w:rPr>
        <w:t xml:space="preserve">”. </w:t>
      </w:r>
      <w:r w:rsidRPr="00766B6D" w:rsidR="00934EE8">
        <w:rPr>
          <w:rFonts w:ascii="Times New Roman" w:hAnsi="Times New Roman" w:cs="Times New Roman"/>
          <w:color w:val="000000" w:themeColor="text1"/>
          <w:sz w:val="28"/>
          <w:szCs w:val="28"/>
        </w:rPr>
        <w:t>NILLTPFN likuma 3.</w:t>
      </w:r>
      <w:r w:rsidRPr="00766B6D" w:rsidR="00934EE8">
        <w:rPr>
          <w:rFonts w:ascii="Times New Roman" w:hAnsi="Times New Roman" w:cs="Times New Roman"/>
          <w:color w:val="000000" w:themeColor="text1"/>
          <w:sz w:val="28"/>
          <w:szCs w:val="28"/>
          <w:vertAlign w:val="superscript"/>
        </w:rPr>
        <w:t>1</w:t>
      </w:r>
      <w:r w:rsidRPr="00766B6D" w:rsidR="00934EE8">
        <w:rPr>
          <w:rFonts w:ascii="Times New Roman" w:hAnsi="Times New Roman" w:cs="Times New Roman"/>
          <w:color w:val="000000" w:themeColor="text1"/>
          <w:sz w:val="28"/>
          <w:szCs w:val="28"/>
        </w:rPr>
        <w:t xml:space="preserve"> pants nosaka, ka, l</w:t>
      </w:r>
      <w:r w:rsidRPr="00766B6D" w:rsidR="00934EE8">
        <w:rPr>
          <w:rFonts w:ascii="Times New Roman" w:hAnsi="Times New Roman" w:cs="Times New Roman"/>
          <w:color w:val="000000" w:themeColor="text1"/>
          <w:sz w:val="28"/>
          <w:szCs w:val="28"/>
          <w:shd w:val="clear" w:color="auto" w:fill="FFFFFF"/>
        </w:rPr>
        <w:t xml:space="preserve">ai novērstu ar noziedzīgi iegūtu līdzekļu legalizāciju un terorisma un </w:t>
      </w:r>
      <w:proofErr w:type="spellStart"/>
      <w:r w:rsidRPr="00766B6D" w:rsidR="00934EE8">
        <w:rPr>
          <w:rFonts w:ascii="Times New Roman" w:hAnsi="Times New Roman" w:cs="Times New Roman"/>
          <w:color w:val="000000" w:themeColor="text1"/>
          <w:sz w:val="28"/>
          <w:szCs w:val="28"/>
          <w:shd w:val="clear" w:color="auto" w:fill="FFFFFF"/>
        </w:rPr>
        <w:t>proliferācijas</w:t>
      </w:r>
      <w:proofErr w:type="spellEnd"/>
      <w:r w:rsidRPr="00766B6D" w:rsidR="00934EE8">
        <w:rPr>
          <w:rFonts w:ascii="Times New Roman" w:hAnsi="Times New Roman" w:cs="Times New Roman"/>
          <w:color w:val="000000" w:themeColor="text1"/>
          <w:sz w:val="28"/>
          <w:szCs w:val="28"/>
          <w:shd w:val="clear" w:color="auto" w:fill="FFFFFF"/>
        </w:rPr>
        <w:t xml:space="preserve"> finansēšanu saistītas darbības, arī šā likuma </w:t>
      </w:r>
      <w:hyperlink w:history="1" w:anchor="p3" r:id="rId10">
        <w:r w:rsidRPr="00766B6D" w:rsidR="00934EE8">
          <w:rPr>
            <w:rStyle w:val="Hipersaite"/>
            <w:rFonts w:ascii="Times New Roman" w:hAnsi="Times New Roman" w:cs="Times New Roman"/>
            <w:color w:val="000000" w:themeColor="text1"/>
            <w:sz w:val="28"/>
            <w:szCs w:val="28"/>
          </w:rPr>
          <w:t>3.</w:t>
        </w:r>
      </w:hyperlink>
      <w:r w:rsidRPr="00766B6D" w:rsidR="00934EE8">
        <w:rPr>
          <w:rFonts w:ascii="Times New Roman" w:hAnsi="Times New Roman" w:cs="Times New Roman"/>
          <w:color w:val="000000" w:themeColor="text1"/>
          <w:sz w:val="28"/>
          <w:szCs w:val="28"/>
          <w:shd w:val="clear" w:color="auto" w:fill="FFFFFF"/>
        </w:rPr>
        <w:t xml:space="preserve"> pantā nenorādītām personām, kā </w:t>
      </w:r>
      <w:r w:rsidRPr="00766B6D" w:rsidR="00934EE8">
        <w:rPr>
          <w:rFonts w:ascii="Times New Roman" w:hAnsi="Times New Roman" w:cs="Times New Roman"/>
          <w:color w:val="000000" w:themeColor="text1"/>
          <w:sz w:val="28"/>
          <w:szCs w:val="28"/>
          <w:shd w:val="clear" w:color="auto" w:fill="FFFFFF"/>
        </w:rPr>
        <w:lastRenderedPageBreak/>
        <w:t xml:space="preserve">arī valsts institūcijām, atvasinātām publiskām personām un to institūcijām ir pienākums sniegt Finanšu izlūkošanas dienestam informāciju par katru aizdomīgu darījumu, kā arī to rīcībā esošo informāciju un dokumentus, kas nepieciešami Finanšu izlūkošanas dienestam tā pienākumu veikšanai atbilstoši šā likuma prasībām. Šajā pantā norādītajām personām tiek piemēroti likuma subjektiem paredzētie tiesiskās aizsardzības mehānismi. </w:t>
      </w:r>
      <w:r w:rsidRPr="00766B6D" w:rsidR="00212FD8">
        <w:rPr>
          <w:rFonts w:ascii="Times New Roman" w:hAnsi="Times New Roman" w:cs="Times New Roman"/>
          <w:color w:val="000000" w:themeColor="text1"/>
          <w:sz w:val="28"/>
          <w:szCs w:val="28"/>
          <w:shd w:val="clear" w:color="auto" w:fill="FFFFFF"/>
        </w:rPr>
        <w:t xml:space="preserve">Turklāt NILLTPFN paredz, ka iespējams veikt vienkāršotu klienta izpēti (26.pants), kas ir nodrošināms arī bāriņtiesā. Atbilstoši Bāriņtiesas 61. panta pirmās daļas 1.punktam  Bāriņtiesas savā administratīvajā teritorijā apliecina darījumu, ja to slēdz attiecīgās bāriņtiesas darbības teritorijā savu dzīvesvietu deklarējušie iedzīvotāji savstarpēji un ar citām personām un darījuma summa nepārsniedz 8537 </w:t>
      </w:r>
      <w:proofErr w:type="spellStart"/>
      <w:r w:rsidRPr="00766B6D" w:rsidR="00212FD8">
        <w:rPr>
          <w:rFonts w:ascii="Times New Roman" w:hAnsi="Times New Roman" w:cs="Times New Roman"/>
          <w:i/>
          <w:iCs/>
          <w:color w:val="000000" w:themeColor="text1"/>
          <w:sz w:val="28"/>
          <w:szCs w:val="28"/>
        </w:rPr>
        <w:t>euro</w:t>
      </w:r>
      <w:proofErr w:type="spellEnd"/>
      <w:r w:rsidRPr="00766B6D" w:rsidR="00212FD8">
        <w:rPr>
          <w:rFonts w:ascii="Times New Roman" w:hAnsi="Times New Roman" w:cs="Times New Roman"/>
          <w:i/>
          <w:iCs/>
          <w:color w:val="000000" w:themeColor="text1"/>
          <w:sz w:val="28"/>
          <w:szCs w:val="28"/>
        </w:rPr>
        <w:t xml:space="preserve">, </w:t>
      </w:r>
      <w:r w:rsidRPr="00766B6D" w:rsidR="00212FD8">
        <w:rPr>
          <w:rFonts w:ascii="Times New Roman" w:hAnsi="Times New Roman" w:cs="Times New Roman"/>
          <w:color w:val="000000" w:themeColor="text1"/>
          <w:sz w:val="28"/>
          <w:szCs w:val="28"/>
        </w:rPr>
        <w:t xml:space="preserve">kas ir </w:t>
      </w:r>
      <w:r w:rsidRPr="00766B6D" w:rsidR="00A0027A">
        <w:rPr>
          <w:rFonts w:ascii="Times New Roman" w:hAnsi="Times New Roman" w:cs="Times New Roman"/>
          <w:color w:val="000000" w:themeColor="text1"/>
          <w:sz w:val="28"/>
          <w:szCs w:val="28"/>
        </w:rPr>
        <w:t xml:space="preserve">NILLTPFN 26.panta trešās daļas 5.punktā minēto summu ietvaros. Tādējādi, nodrošinot nepieciešamo metodisko vadību bāriņtiesas var turpināt apliecināt šādus darījumus. </w:t>
      </w:r>
    </w:p>
    <w:p w:rsidRPr="00766B6D" w:rsidR="00A0027A" w:rsidP="00A0027A" w:rsidRDefault="00A0027A" w14:paraId="719EF2C8" w14:textId="79E73B6D">
      <w:pPr>
        <w:pStyle w:val="Sarakstarindkopa"/>
        <w:ind w:left="0" w:firstLine="709"/>
        <w:jc w:val="both"/>
        <w:rPr>
          <w:rFonts w:ascii="Times New Roman" w:hAnsi="Times New Roman" w:cs="Times New Roman"/>
          <w:i/>
          <w:iCs/>
          <w:color w:val="000000" w:themeColor="text1"/>
          <w:sz w:val="28"/>
          <w:szCs w:val="28"/>
        </w:rPr>
      </w:pPr>
      <w:r w:rsidRPr="00766B6D">
        <w:rPr>
          <w:rFonts w:ascii="Times New Roman" w:hAnsi="Times New Roman" w:cs="Times New Roman"/>
          <w:color w:val="000000" w:themeColor="text1"/>
          <w:sz w:val="28"/>
          <w:szCs w:val="28"/>
        </w:rPr>
        <w:t xml:space="preserve">Papildus nav pierādīts apgalvojums, ka bāriņtiesās nav iekšējo kontroles sistēmu. Jāatgādina, ka bāriņtiesas ir pašvaldības iestādes. Pašvaldībām atbilstoši normatīvajiem aktiem ir pienākums izstrādāt iekšējās kontroles sistēmas. Tātad arī bāriņtiesās ir jābūt iekšējās kontroles sistēmām. </w:t>
      </w:r>
    </w:p>
    <w:p w:rsidRPr="008C72E9" w:rsidR="00A0027A" w:rsidP="00764E77" w:rsidRDefault="00FF3741" w14:paraId="14549D45" w14:textId="05DA1CD7">
      <w:pPr>
        <w:pStyle w:val="Sarakstarindkopa"/>
        <w:numPr>
          <w:ilvl w:val="0"/>
          <w:numId w:val="2"/>
        </w:numPr>
        <w:ind w:left="0" w:firstLine="709"/>
        <w:jc w:val="both"/>
        <w:rPr>
          <w:rFonts w:ascii="Times New Roman" w:hAnsi="Times New Roman" w:cs="Times New Roman"/>
          <w:i/>
          <w:iCs/>
          <w:color w:val="000000" w:themeColor="text1"/>
          <w:sz w:val="28"/>
          <w:szCs w:val="28"/>
        </w:rPr>
      </w:pPr>
      <w:r>
        <w:rPr>
          <w:rFonts w:ascii="Times New Roman" w:hAnsi="Times New Roman" w:cs="Times New Roman"/>
          <w:color w:val="000000" w:themeColor="text1"/>
          <w:sz w:val="28"/>
          <w:szCs w:val="28"/>
        </w:rPr>
        <w:t xml:space="preserve">Atsacīšanās no </w:t>
      </w:r>
      <w:r w:rsidRPr="00766B6D">
        <w:rPr>
          <w:rFonts w:ascii="Times New Roman" w:hAnsi="Times New Roman" w:cs="Times New Roman"/>
          <w:color w:val="000000" w:themeColor="text1"/>
          <w:sz w:val="28"/>
          <w:szCs w:val="28"/>
        </w:rPr>
        <w:t>notariālo apliecinājumu veikšanas bāriņtiesā</w:t>
      </w:r>
      <w:r>
        <w:rPr>
          <w:rFonts w:ascii="Times New Roman" w:hAnsi="Times New Roman" w:cs="Times New Roman"/>
          <w:color w:val="000000" w:themeColor="text1"/>
          <w:sz w:val="28"/>
          <w:szCs w:val="28"/>
        </w:rPr>
        <w:t xml:space="preserve">, tiek pamatota arī ar apgalvojumu anotācijas 10.lpp., </w:t>
      </w:r>
      <w:r w:rsidRPr="00FF3741">
        <w:rPr>
          <w:rFonts w:ascii="Times New Roman" w:hAnsi="Times New Roman" w:cs="Times New Roman"/>
          <w:color w:val="000000" w:themeColor="text1"/>
          <w:sz w:val="28"/>
          <w:szCs w:val="28"/>
        </w:rPr>
        <w:t xml:space="preserve">norādot, ka </w:t>
      </w:r>
      <w:r w:rsidRPr="00FF3741">
        <w:rPr>
          <w:rFonts w:ascii="Times New Roman" w:hAnsi="Times New Roman" w:eastAsia="Times New Roman" w:cs="Times New Roman"/>
          <w:sz w:val="28"/>
          <w:szCs w:val="28"/>
        </w:rPr>
        <w:t xml:space="preserve">iespēju saņemt bāriņtiesā notariālo palīdzību personas izmanto negodprātīgi, proti, uz šīs palīdzības saņemšanas brīdi deklarējot savu dzīvesvietu attiecīgās bāriņtiesas darbības teritorijā, lai atbilstu kritērijiem šādas palīdzības saņemšanai. </w:t>
      </w:r>
      <w:r>
        <w:rPr>
          <w:rFonts w:ascii="Times New Roman" w:hAnsi="Times New Roman" w:eastAsia="Times New Roman" w:cs="Times New Roman"/>
          <w:sz w:val="28"/>
          <w:szCs w:val="28"/>
        </w:rPr>
        <w:t xml:space="preserve">LPS </w:t>
      </w:r>
      <w:r w:rsidRPr="008C72E9">
        <w:rPr>
          <w:rFonts w:ascii="Times New Roman" w:hAnsi="Times New Roman" w:eastAsia="Times New Roman" w:cs="Times New Roman"/>
          <w:sz w:val="28"/>
          <w:szCs w:val="28"/>
        </w:rPr>
        <w:t xml:space="preserve">ieskatā šis apgalvojums liecina par to, ka bāriņtiesas sniegtais pakalpojums ir pietiekami kvalitatīvs, lai personas vēlētos </w:t>
      </w:r>
      <w:r w:rsidRPr="008C72E9" w:rsidR="00C93CB9">
        <w:rPr>
          <w:rFonts w:ascii="Times New Roman" w:hAnsi="Times New Roman" w:eastAsia="Times New Roman" w:cs="Times New Roman"/>
          <w:sz w:val="28"/>
          <w:szCs w:val="28"/>
        </w:rPr>
        <w:t>deklarētos attiecīgajā administratīvajā teritorijā. Tāpat šis apgalvojums liecina, ka zvērināta notāra piedāvātais pakalpojums daļai iedzīvotāju nav pieejams.</w:t>
      </w:r>
    </w:p>
    <w:p w:rsidRPr="008C72E9" w:rsidR="00C93CB9" w:rsidP="00764E77" w:rsidRDefault="00C93CB9" w14:paraId="1B910FDE" w14:textId="30AAD8F1">
      <w:pPr>
        <w:pStyle w:val="Sarakstarindkopa"/>
        <w:numPr>
          <w:ilvl w:val="0"/>
          <w:numId w:val="2"/>
        </w:numPr>
        <w:ind w:left="0" w:firstLine="709"/>
        <w:jc w:val="both"/>
        <w:rPr>
          <w:rFonts w:ascii="Times New Roman" w:hAnsi="Times New Roman" w:cs="Times New Roman"/>
          <w:i/>
          <w:iCs/>
          <w:color w:val="000000" w:themeColor="text1"/>
          <w:sz w:val="28"/>
          <w:szCs w:val="28"/>
        </w:rPr>
      </w:pPr>
      <w:r w:rsidRPr="008C72E9">
        <w:rPr>
          <w:rFonts w:ascii="Times New Roman" w:hAnsi="Times New Roman" w:eastAsia="Times New Roman" w:cs="Times New Roman"/>
          <w:sz w:val="28"/>
          <w:szCs w:val="28"/>
        </w:rPr>
        <w:t xml:space="preserve">Anotācijas 11. lpp. ir norādīts, ka “Valsts kontrole, kuras pamata uzdevums ir revīziju veikšana, vairākkārt ir vērsusi uzmanību, ka </w:t>
      </w:r>
      <w:r w:rsidR="002907BE">
        <w:rPr>
          <w:rFonts w:ascii="Times New Roman" w:hAnsi="Times New Roman" w:eastAsia="Times New Roman" w:cs="Times New Roman"/>
          <w:sz w:val="28"/>
          <w:szCs w:val="28"/>
        </w:rPr>
        <w:t>“</w:t>
      </w:r>
      <w:r w:rsidRPr="008C72E9">
        <w:rPr>
          <w:rFonts w:ascii="Times New Roman" w:hAnsi="Times New Roman" w:eastAsia="Times New Roman" w:cs="Times New Roman"/>
          <w:sz w:val="28"/>
          <w:szCs w:val="28"/>
        </w:rPr>
        <w:t>funkcijas un atbildības nedrīkst dublēties, jo tāda situācija ir nelietderīga vai pat netaisnīga un sistēmu kropļojoša</w:t>
      </w:r>
      <w:r w:rsidR="002907BE">
        <w:rPr>
          <w:rFonts w:ascii="Times New Roman" w:hAnsi="Times New Roman" w:eastAsia="Times New Roman" w:cs="Times New Roman"/>
          <w:sz w:val="28"/>
          <w:szCs w:val="28"/>
        </w:rPr>
        <w:t>”</w:t>
      </w:r>
      <w:r w:rsidRPr="008C72E9">
        <w:rPr>
          <w:rFonts w:ascii="Times New Roman" w:hAnsi="Times New Roman" w:eastAsia="Times New Roman" w:cs="Times New Roman"/>
          <w:sz w:val="28"/>
          <w:szCs w:val="28"/>
          <w:vertAlign w:val="superscript"/>
        </w:rPr>
        <w:t>5</w:t>
      </w:r>
      <w:r w:rsidRPr="008C72E9">
        <w:rPr>
          <w:rFonts w:ascii="Times New Roman" w:hAnsi="Times New Roman" w:eastAsia="Times New Roman" w:cs="Times New Roman"/>
          <w:sz w:val="28"/>
          <w:szCs w:val="28"/>
        </w:rPr>
        <w:t>”. Tā kā atsauces saitē nav iespējams atrast dokumentu, uz kuru atsaucas Tieslietu ministrija</w:t>
      </w:r>
      <w:r w:rsidRPr="008C72E9" w:rsidR="00565375">
        <w:rPr>
          <w:rFonts w:ascii="Times New Roman" w:hAnsi="Times New Roman" w:eastAsia="Times New Roman" w:cs="Times New Roman"/>
          <w:sz w:val="28"/>
          <w:szCs w:val="28"/>
        </w:rPr>
        <w:t xml:space="preserve">, nevaram secināt par kādām institūcijām tieši minētais raksts. Tomēr bāriņtiesu un zvērinātu notāru notariālo apliecinājumu jomā dublēšanās nenotiek, jo saskaņā ar Bāriņtiesu likumu </w:t>
      </w:r>
      <w:r w:rsidRPr="008C72E9">
        <w:rPr>
          <w:rFonts w:ascii="Times New Roman" w:hAnsi="Times New Roman" w:eastAsia="Times New Roman" w:cs="Times New Roman"/>
          <w:sz w:val="28"/>
          <w:szCs w:val="28"/>
        </w:rPr>
        <w:t xml:space="preserve"> </w:t>
      </w:r>
      <w:r w:rsidRPr="008C72E9" w:rsidR="00565375">
        <w:rPr>
          <w:rFonts w:ascii="Times New Roman" w:hAnsi="Times New Roman" w:eastAsia="Times New Roman" w:cs="Times New Roman"/>
          <w:sz w:val="28"/>
          <w:szCs w:val="28"/>
        </w:rPr>
        <w:t xml:space="preserve">notariālie apliecinājumi tiek nodrošināti teritorijās, kur notāra nav. </w:t>
      </w:r>
    </w:p>
    <w:p w:rsidRPr="008C72E9" w:rsidR="00565375" w:rsidP="00764E77" w:rsidRDefault="00565375" w14:paraId="09783EF5" w14:textId="13ED9843">
      <w:pPr>
        <w:pStyle w:val="Sarakstarindkopa"/>
        <w:numPr>
          <w:ilvl w:val="0"/>
          <w:numId w:val="2"/>
        </w:numPr>
        <w:ind w:left="0" w:firstLine="709"/>
        <w:jc w:val="both"/>
        <w:rPr>
          <w:rFonts w:ascii="Times New Roman" w:hAnsi="Times New Roman" w:cs="Times New Roman"/>
          <w:i/>
          <w:iCs/>
          <w:color w:val="000000" w:themeColor="text1"/>
          <w:sz w:val="28"/>
          <w:szCs w:val="28"/>
        </w:rPr>
      </w:pPr>
      <w:r w:rsidRPr="008C72E9">
        <w:rPr>
          <w:rFonts w:ascii="Times New Roman" w:hAnsi="Times New Roman" w:eastAsia="Times New Roman" w:cs="Times New Roman"/>
          <w:sz w:val="28"/>
          <w:szCs w:val="28"/>
        </w:rPr>
        <w:t xml:space="preserve">Anotācijas 11.lpp. ir norādīts, ka “notariālā palīdzība pamatā ir saistīta ar personas saimnieciskajām (civiltiesiskajām) darbībām, kuru nozīme un prioritāte nav salīdzināma ar bērnu un citu </w:t>
      </w:r>
      <w:proofErr w:type="spellStart"/>
      <w:r w:rsidRPr="008C72E9">
        <w:rPr>
          <w:rFonts w:ascii="Times New Roman" w:hAnsi="Times New Roman" w:eastAsia="Times New Roman" w:cs="Times New Roman"/>
          <w:sz w:val="28"/>
          <w:szCs w:val="28"/>
        </w:rPr>
        <w:t>mazaizsargāto</w:t>
      </w:r>
      <w:proofErr w:type="spellEnd"/>
      <w:r w:rsidRPr="008C72E9">
        <w:rPr>
          <w:rFonts w:ascii="Times New Roman" w:hAnsi="Times New Roman" w:eastAsia="Times New Roman" w:cs="Times New Roman"/>
          <w:sz w:val="28"/>
          <w:szCs w:val="28"/>
        </w:rPr>
        <w:t xml:space="preserve"> personu cilvēktiesību aizsardzību.”. Minētajam apgalvojumam nevar pilnībā piekrist. Mantiskās tiesības (saimnieciskās/civiltiesiskās) ir cilvēktiesību sastāvdaļa un to aizsargā Satversmes 105.pants. Tā kā bāriņtiesas aizsargā bērnu un citu </w:t>
      </w:r>
      <w:proofErr w:type="spellStart"/>
      <w:r w:rsidRPr="008C72E9">
        <w:rPr>
          <w:rFonts w:ascii="Times New Roman" w:hAnsi="Times New Roman" w:eastAsia="Times New Roman" w:cs="Times New Roman"/>
          <w:sz w:val="28"/>
          <w:szCs w:val="28"/>
        </w:rPr>
        <w:t>mazaizsargāto</w:t>
      </w:r>
      <w:proofErr w:type="spellEnd"/>
      <w:r w:rsidRPr="008C72E9">
        <w:rPr>
          <w:rFonts w:ascii="Times New Roman" w:hAnsi="Times New Roman" w:eastAsia="Times New Roman" w:cs="Times New Roman"/>
          <w:sz w:val="28"/>
          <w:szCs w:val="28"/>
        </w:rPr>
        <w:t xml:space="preserve"> personu cilvēktiesības, tad tas nozīmē, ka tās aizsargā ari cilvēktiesībās ietilpstošās </w:t>
      </w:r>
      <w:r w:rsidRPr="008C72E9" w:rsidR="008C72E9">
        <w:rPr>
          <w:rFonts w:ascii="Times New Roman" w:hAnsi="Times New Roman" w:eastAsia="Times New Roman" w:cs="Times New Roman"/>
          <w:sz w:val="28"/>
          <w:szCs w:val="28"/>
        </w:rPr>
        <w:t xml:space="preserve">mantiskās tiesības. Ņemot vērā minēto, lūdzam precizēt likumprojektu atbilstoši minētajam. </w:t>
      </w:r>
    </w:p>
    <w:p w:rsidRPr="008C72E9" w:rsidR="00764E77" w:rsidP="008C72E9" w:rsidRDefault="00A0027A" w14:paraId="0E52602B" w14:textId="6A269F04">
      <w:pPr>
        <w:pStyle w:val="Sarakstarindkopa"/>
        <w:numPr>
          <w:ilvl w:val="0"/>
          <w:numId w:val="2"/>
        </w:numPr>
        <w:ind w:left="0" w:firstLine="709"/>
        <w:jc w:val="both"/>
        <w:rPr>
          <w:rFonts w:ascii="Times New Roman" w:hAnsi="Times New Roman" w:cs="Times New Roman"/>
          <w:i/>
          <w:iCs/>
          <w:color w:val="000000" w:themeColor="text1"/>
          <w:sz w:val="28"/>
          <w:szCs w:val="28"/>
        </w:rPr>
      </w:pPr>
      <w:r w:rsidRPr="00766B6D">
        <w:rPr>
          <w:rFonts w:ascii="Times New Roman" w:hAnsi="Times New Roman" w:cs="Times New Roman"/>
          <w:color w:val="000000" w:themeColor="text1"/>
          <w:sz w:val="28"/>
          <w:szCs w:val="28"/>
        </w:rPr>
        <w:lastRenderedPageBreak/>
        <w:t>Valsts pārvaldes iekārtas likuma</w:t>
      </w:r>
      <w:r w:rsidRPr="00766B6D" w:rsidR="00766B6D">
        <w:rPr>
          <w:rFonts w:ascii="Times New Roman" w:hAnsi="Times New Roman" w:cs="Times New Roman"/>
          <w:color w:val="000000" w:themeColor="text1"/>
          <w:sz w:val="28"/>
          <w:szCs w:val="28"/>
        </w:rPr>
        <w:t xml:space="preserve"> 10.panta devītā daļa nosaka, ka valsts pārvaldi organizē, ievērojot subsidiaritātes principu. S</w:t>
      </w:r>
      <w:r w:rsidRPr="00766B6D" w:rsidR="00766B6D">
        <w:rPr>
          <w:rFonts w:ascii="Times New Roman" w:hAnsi="Times New Roman" w:cs="Times New Roman"/>
          <w:color w:val="000000" w:themeColor="text1"/>
          <w:sz w:val="28"/>
          <w:szCs w:val="28"/>
          <w:shd w:val="clear" w:color="auto" w:fill="FFFFFF"/>
        </w:rPr>
        <w:t xml:space="preserve">ubsidiaritātes princips paredz: ja uzdevums pēc sava apjoma un dabas nav tāds, ka tas jāizpilda plašākā teritorijā, un to neprasa efektivitātes un ekonomijas apsvērumi, tad tas jādeleģē vietējā līmeņa varai. Savukārt proporcionalitātes princips paredz, ka ir jāizsver iesaistītās intereses pret sasniedzamajiem mērķiem. </w:t>
      </w:r>
      <w:r w:rsidRPr="00766B6D" w:rsidR="00766B6D">
        <w:rPr>
          <w:rFonts w:ascii="Times New Roman" w:hAnsi="Times New Roman" w:cs="Times New Roman"/>
          <w:color w:val="000000" w:themeColor="text1"/>
          <w:sz w:val="28"/>
          <w:szCs w:val="28"/>
        </w:rPr>
        <w:t xml:space="preserve">Ņemot vērā minēto, lūdzam papildināt anotāciju ar proporcionalitātes un samērīguma </w:t>
      </w:r>
      <w:proofErr w:type="spellStart"/>
      <w:r w:rsidRPr="00766B6D" w:rsidR="00766B6D">
        <w:rPr>
          <w:rFonts w:ascii="Times New Roman" w:hAnsi="Times New Roman" w:cs="Times New Roman"/>
          <w:color w:val="000000" w:themeColor="text1"/>
          <w:sz w:val="28"/>
          <w:szCs w:val="28"/>
        </w:rPr>
        <w:t>izvērtējumu</w:t>
      </w:r>
      <w:proofErr w:type="spellEnd"/>
      <w:r w:rsidRPr="00766B6D" w:rsidR="00766B6D">
        <w:rPr>
          <w:rFonts w:ascii="Times New Roman" w:hAnsi="Times New Roman" w:cs="Times New Roman"/>
          <w:color w:val="000000" w:themeColor="text1"/>
          <w:sz w:val="28"/>
          <w:szCs w:val="28"/>
        </w:rPr>
        <w:t xml:space="preserve">, proti, šāds </w:t>
      </w:r>
      <w:proofErr w:type="spellStart"/>
      <w:r w:rsidRPr="00766B6D" w:rsidR="00766B6D">
        <w:rPr>
          <w:rFonts w:ascii="Times New Roman" w:hAnsi="Times New Roman" w:cs="Times New Roman"/>
          <w:color w:val="000000" w:themeColor="text1"/>
          <w:sz w:val="28"/>
          <w:szCs w:val="28"/>
        </w:rPr>
        <w:t>izvērtējums</w:t>
      </w:r>
      <w:proofErr w:type="spellEnd"/>
      <w:r w:rsidRPr="00766B6D" w:rsidR="00766B6D">
        <w:rPr>
          <w:rFonts w:ascii="Times New Roman" w:hAnsi="Times New Roman" w:cs="Times New Roman"/>
          <w:color w:val="000000" w:themeColor="text1"/>
          <w:sz w:val="28"/>
          <w:szCs w:val="28"/>
        </w:rPr>
        <w:t xml:space="preserve"> nepieciešams, ja likumdevējs atsakās no kāda pakalpojuma nodrošināšanas, konkrētajā gadījumā no notariālo apliecinājumu veikšanas bāriņtiesā.</w:t>
      </w:r>
    </w:p>
    <w:p w:rsidRPr="008C72E9" w:rsidR="008C72E9" w:rsidP="008C72E9" w:rsidRDefault="008C72E9" w14:paraId="66AF3AB6" w14:textId="30CFF568">
      <w:pPr>
        <w:pStyle w:val="Sarakstarindkopa"/>
        <w:numPr>
          <w:ilvl w:val="0"/>
          <w:numId w:val="2"/>
        </w:numPr>
        <w:ind w:left="0" w:firstLine="709"/>
        <w:jc w:val="both"/>
        <w:rPr>
          <w:rFonts w:ascii="Times New Roman" w:hAnsi="Times New Roman" w:cs="Times New Roman"/>
          <w:i/>
          <w:iCs/>
          <w:color w:val="000000" w:themeColor="text1"/>
          <w:sz w:val="28"/>
          <w:szCs w:val="28"/>
        </w:rPr>
      </w:pPr>
      <w:r w:rsidRPr="008C72E9">
        <w:rPr>
          <w:rFonts w:ascii="Times New Roman" w:hAnsi="Times New Roman" w:cs="Times New Roman"/>
          <w:color w:val="000000" w:themeColor="text1"/>
          <w:sz w:val="28"/>
          <w:szCs w:val="28"/>
        </w:rPr>
        <w:t xml:space="preserve">2020.gadā Tieslietu ministrijas un LPS sarunās otrajā kārtā, kas norisinājās 2020.gada 17.jūnijā, tika runāts par to, ka </w:t>
      </w:r>
      <w:r w:rsidRPr="008C72E9">
        <w:rPr>
          <w:rFonts w:ascii="Times New Roman" w:hAnsi="Times New Roman" w:cs="Times New Roman"/>
          <w:sz w:val="28"/>
          <w:szCs w:val="28"/>
        </w:rPr>
        <w:t xml:space="preserve">tiks organizētas atsevišķas LPS un TM sarunas gan par notariālo funkciju pieejamību, gan notāru taksēm, gan Zemesgrāmatu nostiprinājumu lūgumiem (apliecinājumi Zemesgrāmatu nodaļās, Oficiālajā elektroniskajā adresē). Ņemot vērā minēto, aicinām organizēt tikšanos ar LPS par piedāvātajiem grozījumiem vēl pirms oficiālās starpinstitūciju saskaņošanas sanāksmes. </w:t>
      </w:r>
    </w:p>
    <w:p w:rsidRPr="008C72E9" w:rsidR="008C72E9" w:rsidP="008C72E9" w:rsidRDefault="008C72E9" w14:paraId="3506598B" w14:textId="20B768A8">
      <w:pPr>
        <w:pStyle w:val="Sarakstarindkopa"/>
        <w:numPr>
          <w:ilvl w:val="0"/>
          <w:numId w:val="2"/>
        </w:numPr>
        <w:ind w:left="0" w:firstLine="709"/>
        <w:jc w:val="both"/>
        <w:rPr>
          <w:rFonts w:ascii="Times New Roman" w:hAnsi="Times New Roman" w:cs="Times New Roman"/>
          <w:i/>
          <w:iCs/>
          <w:color w:val="000000" w:themeColor="text1"/>
          <w:sz w:val="28"/>
          <w:szCs w:val="28"/>
        </w:rPr>
      </w:pPr>
      <w:r>
        <w:rPr>
          <w:rFonts w:ascii="Times New Roman" w:hAnsi="Times New Roman" w:cs="Times New Roman"/>
          <w:sz w:val="28"/>
          <w:szCs w:val="28"/>
        </w:rPr>
        <w:t>Ņemot vērā minētos iebildumus likumprojektā lūdzam svītrot 1., 2., 5., 6., 7. pantu, attiecīgi precizēt 8.pantu.</w:t>
      </w:r>
    </w:p>
    <w:p w:rsidRPr="008C72E9" w:rsidR="00764E77" w:rsidP="00764E77" w:rsidRDefault="00764E77" w14:paraId="09400600" w14:textId="77777777">
      <w:pPr>
        <w:jc w:val="both"/>
        <w:rPr>
          <w:rFonts w:ascii="Times New Roman" w:hAnsi="Times New Roman"/>
          <w:sz w:val="28"/>
          <w:szCs w:val="28"/>
        </w:rPr>
      </w:pPr>
    </w:p>
    <w:p w:rsidR="00764E77" w:rsidP="00764E77" w:rsidRDefault="00764E77" w14:paraId="7832E033" w14:textId="77777777">
      <w:pPr>
        <w:jc w:val="both"/>
        <w:rPr>
          <w:rFonts w:ascii="Times New Roman" w:hAnsi="Times New Roman"/>
          <w:sz w:val="28"/>
          <w:szCs w:val="28"/>
        </w:rPr>
      </w:pPr>
    </w:p>
    <w:p w:rsidR="00764E77" w:rsidP="00764E77" w:rsidRDefault="00764E77" w14:paraId="52CFF931" w14:textId="77777777">
      <w:pPr>
        <w:jc w:val="both"/>
        <w:rPr>
          <w:rFonts w:ascii="Times New Roman" w:hAnsi="Times New Roman"/>
          <w:sz w:val="28"/>
          <w:szCs w:val="28"/>
        </w:rPr>
      </w:pPr>
    </w:p>
    <w:p w:rsidR="00764E77" w:rsidP="00764E77" w:rsidRDefault="00764E77" w14:paraId="62553FEC" w14:textId="77777777">
      <w:pPr>
        <w:jc w:val="both"/>
        <w:rPr>
          <w:rFonts w:ascii="Times New Roman" w:hAnsi="Times New Roman"/>
          <w:sz w:val="28"/>
          <w:szCs w:val="28"/>
        </w:rPr>
      </w:pPr>
    </w:p>
    <w:p w:rsidRPr="00BB55C0" w:rsidR="00A96D2C" w:rsidP="00A96D2C" w:rsidRDefault="00A96D2C" w14:paraId="122D79BB" w14:textId="77777777">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Pr="00E11005" w:rsidR="00BD361F" w:rsidTr="00627C1E" w14:paraId="4AAC958F" w14:textId="77777777">
        <w:trPr>
          <w:trHeight w:val="409"/>
        </w:trPr>
        <w:tc>
          <w:tcPr>
            <w:tcW w:w="4157" w:type="dxa"/>
            <w:vAlign w:val="center"/>
          </w:tcPr>
          <w:p w:rsidRPr="00E11005" w:rsidR="00BD361F" w:rsidP="00627C1E" w:rsidRDefault="00BD361F" w14:paraId="488D9CDF" w14:textId="77777777">
            <w:pPr>
              <w:rPr>
                <w:rFonts w:ascii="Times New Roman" w:hAnsi="Times New Roman"/>
                <w:sz w:val="28"/>
                <w:szCs w:val="28"/>
              </w:rPr>
            </w:pPr>
            <w:r>
              <w:rPr>
                <w:rFonts w:ascii="Times New Roman" w:hAnsi="Times New Roman"/>
                <w:sz w:val="28"/>
                <w:szCs w:val="28"/>
              </w:rPr>
              <w:t>Priekšsēdis</w:t>
            </w:r>
          </w:p>
        </w:tc>
        <w:tc>
          <w:tcPr>
            <w:tcW w:w="2648" w:type="dxa"/>
            <w:vAlign w:val="center"/>
          </w:tcPr>
          <w:p w:rsidRPr="00E11005" w:rsidR="00BD361F" w:rsidP="00627C1E" w:rsidRDefault="00BD361F" w14:paraId="7BC7E90E" w14:textId="77777777">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rsidRPr="00E11005" w:rsidR="00BD361F" w:rsidP="006A44BD" w:rsidRDefault="00BD361F" w14:paraId="3F44BA51" w14:textId="77777777">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rsidRPr="00322021" w:rsidR="00BD361F" w:rsidP="00BD361F" w:rsidRDefault="00BD361F" w14:paraId="59F26A83" w14:textId="77777777">
      <w:pPr>
        <w:jc w:val="both"/>
        <w:rPr>
          <w:rFonts w:ascii="Times New Roman" w:hAnsi="Times New Roman"/>
          <w:sz w:val="28"/>
        </w:rPr>
      </w:pPr>
    </w:p>
    <w:p w:rsidRPr="00BB55C0" w:rsidR="009C4C2E" w:rsidP="009C4C2E" w:rsidRDefault="009C4C2E" w14:paraId="611453A0" w14:textId="77777777">
      <w:pPr>
        <w:jc w:val="both"/>
        <w:rPr>
          <w:rFonts w:ascii="Times New Roman" w:hAnsi="Times New Roman"/>
          <w:sz w:val="28"/>
          <w:szCs w:val="28"/>
        </w:rPr>
      </w:pPr>
    </w:p>
    <w:p w:rsidRPr="00BB55C0" w:rsidR="009C4C2E" w:rsidP="009C4C2E" w:rsidRDefault="009C4C2E" w14:paraId="172EDB40" w14:textId="1B071127">
      <w:pPr>
        <w:jc w:val="both"/>
        <w:rPr>
          <w:rFonts w:ascii="Times New Roman" w:hAnsi="Times New Roman"/>
          <w:color w:val="FF0000"/>
        </w:rPr>
      </w:pPr>
    </w:p>
    <w:p w:rsidRPr="001443E4" w:rsidR="001443E4" w:rsidP="001443E4" w:rsidRDefault="00BD361F" w14:paraId="02C1344F" w14:textId="77777777">
      <w:pPr>
        <w:rPr>
          <w:rFonts w:ascii="Times New Roman" w:hAnsi="Times New Roman"/>
          <w:sz w:val="24"/>
          <w:szCs w:val="24"/>
          <w:lang w:eastAsia="lv-LV"/>
        </w:rPr>
      </w:pPr>
      <w:r w:rsidRPr="001443E4">
        <w:rPr>
          <w:rFonts w:ascii="Times New Roman" w:hAnsi="Times New Roman"/>
          <w:sz w:val="24"/>
          <w:szCs w:val="24"/>
        </w:rPr>
        <w:t xml:space="preserve">Kristīne Kinča </w:t>
      </w:r>
      <w:r w:rsidRPr="001443E4" w:rsidR="001443E4">
        <w:rPr>
          <w:rFonts w:ascii="Times New Roman" w:hAnsi="Times New Roman"/>
          <w:sz w:val="24"/>
          <w:szCs w:val="24"/>
        </w:rPr>
        <w:t xml:space="preserve">26818781  </w:t>
      </w:r>
    </w:p>
    <w:p w:rsidRPr="00B62FB6" w:rsidR="00BD361F" w:rsidP="00BD361F" w:rsidRDefault="00BD361F" w14:paraId="26D04C80" w14:textId="77777777">
      <w:pPr>
        <w:rPr>
          <w:rFonts w:ascii="Times New Roman" w:hAnsi="Times New Roman"/>
          <w:sz w:val="24"/>
          <w:szCs w:val="24"/>
        </w:rPr>
      </w:pPr>
      <w:r>
        <w:rPr>
          <w:rFonts w:ascii="Times New Roman" w:hAnsi="Times New Roman"/>
          <w:sz w:val="24"/>
          <w:szCs w:val="24"/>
        </w:rPr>
        <w:t>kristine.kinca@lps.lv</w:t>
      </w:r>
    </w:p>
    <w:p w:rsidRPr="00BB55C0" w:rsidR="003C575D" w:rsidRDefault="003C575D" w14:paraId="62E1A82F" w14:textId="77777777">
      <w:pPr>
        <w:rPr>
          <w:rFonts w:ascii="Times New Roman" w:hAnsi="Times New Roman"/>
        </w:rPr>
      </w:pPr>
    </w:p>
    <w:p w:rsidR="00DD6F0D" w:rsidP="00270C8C" w:rsidRDefault="00DD6F0D" w14:paraId="7536CCC9" w14:textId="77777777">
      <w:pPr>
        <w:jc w:val="both"/>
        <w:rPr>
          <w:rFonts w:ascii="Times New Roman" w:hAnsi="Times New Roman"/>
          <w:sz w:val="26"/>
          <w:szCs w:val="26"/>
        </w:rPr>
      </w:pPr>
    </w:p>
    <w:p w:rsidR="00BB55C0" w:rsidP="00270C8C" w:rsidRDefault="00DD6F0D" w14:paraId="05FE00B3" w14:textId="03E4A266">
      <w:pPr>
        <w:jc w:val="both"/>
        <w:rPr>
          <w:rFonts w:ascii="Times New Roman" w:hAnsi="Times New Roman"/>
          <w:sz w:val="26"/>
          <w:szCs w:val="26"/>
        </w:rPr>
      </w:pPr>
      <w:r>
        <w:rPr>
          <w:rFonts w:ascii="Times New Roman" w:hAnsi="Times New Roman"/>
          <w:sz w:val="26"/>
          <w:szCs w:val="26"/>
        </w:rPr>
        <w:t>*</w:t>
      </w:r>
      <w:r w:rsidRPr="00BB55C0" w:rsidR="00270C8C">
        <w:rPr>
          <w:rFonts w:ascii="Times New Roman" w:hAnsi="Times New Roman"/>
          <w:sz w:val="26"/>
          <w:szCs w:val="26"/>
        </w:rPr>
        <w:t>Šis dokuments ir parakstīts ar drošu elektronisko parakstu un satur laika zīmogu.</w:t>
      </w:r>
    </w:p>
    <w:p w:rsidRPr="00BB55C0" w:rsidR="00BB55C0" w:rsidP="00BB55C0" w:rsidRDefault="00BB55C0" w14:paraId="7C6D7C89" w14:textId="77777777">
      <w:pPr>
        <w:rPr>
          <w:rFonts w:ascii="Times New Roman" w:hAnsi="Times New Roman"/>
          <w:sz w:val="26"/>
          <w:szCs w:val="26"/>
        </w:rPr>
      </w:pPr>
    </w:p>
    <w:p w:rsidRPr="00BB55C0" w:rsidR="003C575D" w:rsidP="00BB55C0" w:rsidRDefault="003C575D" w14:paraId="0715D907" w14:textId="77777777">
      <w:pPr>
        <w:rPr>
          <w:rFonts w:ascii="Times New Roman" w:hAnsi="Times New Roman"/>
          <w:sz w:val="26"/>
          <w:szCs w:val="26"/>
        </w:rPr>
      </w:pPr>
    </w:p>
    <w:sectPr w:rsidRPr="00BB55C0" w:rsidR="003C575D" w:rsidSect="006656C3">
      <w:headerReference w:type="even" r:id="rId11"/>
      <w:headerReference w:type="default" r:id="rId12"/>
      <w:footerReference w:type="default" r:id="rId13"/>
      <w:headerReference w:type="first" r:id="rId14"/>
      <w:footerReference w:type="first" r:id="rId15"/>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875D2" w14:textId="77777777" w:rsidR="00741873" w:rsidRDefault="00741873">
      <w:r>
        <w:separator/>
      </w:r>
    </w:p>
  </w:endnote>
  <w:endnote w:type="continuationSeparator" w:id="0">
    <w:p w14:paraId="77CCD055" w14:textId="77777777" w:rsidR="00741873" w:rsidRDefault="00741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0A899CF6" w:rsidR="00F73BDE" w:rsidRPr="00983F64" w:rsidRDefault="00F73BDE" w:rsidP="00983F64">
    <w:pPr>
      <w:pStyle w:val="Kjene"/>
    </w:pPr>
    <w:bookmarkStart w:id="2" w:name="Subject3"/>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9C37B" w14:textId="77777777" w:rsidR="00741873" w:rsidRDefault="00741873">
      <w:r>
        <w:separator/>
      </w:r>
    </w:p>
  </w:footnote>
  <w:footnote w:type="continuationSeparator" w:id="0">
    <w:p w14:paraId="51D41171" w14:textId="77777777" w:rsidR="00741873" w:rsidRDefault="00741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6EC4205F"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73BDE" w:rsidRDefault="00F73BDE" w14:paraId="751AC94E"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4B2AD1F3"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1C1C">
      <w:rPr>
        <w:rStyle w:val="Lappusesnumurs"/>
        <w:noProof/>
      </w:rPr>
      <w:t>2</w:t>
    </w:r>
    <w:r>
      <w:rPr>
        <w:rStyle w:val="Lappusesnumurs"/>
      </w:rPr>
      <w:fldChar w:fldCharType="end"/>
    </w:r>
  </w:p>
  <w:p w:rsidR="00F73BDE" w:rsidRDefault="00F73BDE" w14:paraId="44C53E87" w14:textId="0E8B84EE">
    <w:pPr>
      <w:pStyle w:val="Galvene"/>
    </w:pPr>
  </w:p>
  <w:p w:rsidR="002907BE" w:rsidRDefault="002907BE" w14:paraId="19775396"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4578" w:rsidP="00AF4578" w:rsidRDefault="00AF4578" w14:paraId="5694D22E" w14:textId="77777777">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editId="77FDA535" wp14:anchorId="0D830FB1">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rsidR="00AF4578" w:rsidP="00AF4578" w:rsidRDefault="00AF4578" w14:paraId="265018E3" w14:textId="77777777">
    <w:pPr>
      <w:rPr>
        <w:rFonts w:ascii="Times New Roman" w:hAnsi="Times New Roman"/>
        <w:b/>
        <w:sz w:val="8"/>
      </w:rPr>
    </w:pPr>
    <w:r>
      <w:rPr>
        <w:rFonts w:ascii="Times New Roman" w:hAnsi="Times New Roman"/>
        <w:b/>
        <w:sz w:val="22"/>
      </w:rPr>
      <w:tab/>
    </w:r>
    <w:r>
      <w:rPr>
        <w:rFonts w:ascii="Times New Roman" w:hAnsi="Times New Roman"/>
        <w:b/>
        <w:sz w:val="22"/>
      </w:rPr>
      <w:tab/>
    </w:r>
  </w:p>
  <w:p w:rsidR="00AF4578" w:rsidP="00AF4578" w:rsidRDefault="00AF4578" w14:paraId="69D77EB3" w14:textId="77777777">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rsidR="00AF4578" w:rsidP="00AF4578" w:rsidRDefault="00AF4578" w14:paraId="0B2488C0" w14:textId="77777777">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rsidR="00AF4578" w:rsidP="00AF4578" w:rsidRDefault="00AF4578" w14:paraId="139EDA8F" w14:textId="77777777">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AF4578" w:rsidP="00AF4578" w:rsidRDefault="00AF4578" w14:paraId="50336B40" w14:textId="77777777">
    <w:pPr>
      <w:tabs>
        <w:tab w:val="left" w:pos="1440"/>
      </w:tabs>
      <w:rPr>
        <w:rFonts w:ascii="Times New Roman" w:hAnsi="Times New Roman"/>
        <w:b/>
        <w:sz w:val="22"/>
      </w:rPr>
    </w:pPr>
    <w:r>
      <w:rPr>
        <w:rFonts w:ascii="Times New Roman" w:hAnsi="Times New Roman"/>
        <w:b/>
        <w:sz w:val="18"/>
        <w:szCs w:val="21"/>
      </w:rPr>
      <w:tab/>
    </w:r>
    <w:hyperlink w:history="1" r:id="rId3">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Pr="00AF4578" w:rsidR="00424D06" w:rsidP="00AF4578" w:rsidRDefault="00AF4578" w14:paraId="5B404C75" w14:textId="274CF7E4">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editId="1E41593E" wp14:anchorId="58B7CD07">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from="-13.75pt,6.6pt" to="440.3pt,6.6pt" w14:anchorId="6F13C0A9">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0"/>
    <w:rsid w:val="000A7656"/>
    <w:rsid w:val="001344E2"/>
    <w:rsid w:val="001348E1"/>
    <w:rsid w:val="00135B9E"/>
    <w:rsid w:val="001443E4"/>
    <w:rsid w:val="00146D76"/>
    <w:rsid w:val="00147FC5"/>
    <w:rsid w:val="00166936"/>
    <w:rsid w:val="00184B5E"/>
    <w:rsid w:val="001A3F4B"/>
    <w:rsid w:val="001B70D1"/>
    <w:rsid w:val="001E5006"/>
    <w:rsid w:val="00212FD8"/>
    <w:rsid w:val="00222314"/>
    <w:rsid w:val="00237D07"/>
    <w:rsid w:val="00256536"/>
    <w:rsid w:val="00265257"/>
    <w:rsid w:val="00270C8C"/>
    <w:rsid w:val="002907BE"/>
    <w:rsid w:val="002B1484"/>
    <w:rsid w:val="002B2117"/>
    <w:rsid w:val="002C1A17"/>
    <w:rsid w:val="002E009D"/>
    <w:rsid w:val="00352ED6"/>
    <w:rsid w:val="0035581F"/>
    <w:rsid w:val="00381CE9"/>
    <w:rsid w:val="00382620"/>
    <w:rsid w:val="003C3ED2"/>
    <w:rsid w:val="003C575D"/>
    <w:rsid w:val="004036E1"/>
    <w:rsid w:val="00412FC7"/>
    <w:rsid w:val="0042302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65375"/>
    <w:rsid w:val="00576E6E"/>
    <w:rsid w:val="005770CD"/>
    <w:rsid w:val="00584F9F"/>
    <w:rsid w:val="005B45BF"/>
    <w:rsid w:val="005C0EEF"/>
    <w:rsid w:val="00617FC1"/>
    <w:rsid w:val="00623A9A"/>
    <w:rsid w:val="00627C1E"/>
    <w:rsid w:val="006457A3"/>
    <w:rsid w:val="006472F9"/>
    <w:rsid w:val="00652C59"/>
    <w:rsid w:val="006656C3"/>
    <w:rsid w:val="006700FC"/>
    <w:rsid w:val="006E4CA9"/>
    <w:rsid w:val="00727D28"/>
    <w:rsid w:val="007345AA"/>
    <w:rsid w:val="00741873"/>
    <w:rsid w:val="00742A83"/>
    <w:rsid w:val="00743648"/>
    <w:rsid w:val="00750DB1"/>
    <w:rsid w:val="00764E77"/>
    <w:rsid w:val="00766B6D"/>
    <w:rsid w:val="00772A3B"/>
    <w:rsid w:val="00797634"/>
    <w:rsid w:val="007A4B22"/>
    <w:rsid w:val="007B448B"/>
    <w:rsid w:val="007D6ECA"/>
    <w:rsid w:val="007F1C1C"/>
    <w:rsid w:val="0080486C"/>
    <w:rsid w:val="00837F48"/>
    <w:rsid w:val="0087341A"/>
    <w:rsid w:val="008771CD"/>
    <w:rsid w:val="008852BB"/>
    <w:rsid w:val="00887701"/>
    <w:rsid w:val="00893330"/>
    <w:rsid w:val="008B2150"/>
    <w:rsid w:val="008C72E9"/>
    <w:rsid w:val="00904152"/>
    <w:rsid w:val="00934EE8"/>
    <w:rsid w:val="009448C3"/>
    <w:rsid w:val="009739A7"/>
    <w:rsid w:val="00983F64"/>
    <w:rsid w:val="009A72F0"/>
    <w:rsid w:val="009B743F"/>
    <w:rsid w:val="009C4C2E"/>
    <w:rsid w:val="009F0931"/>
    <w:rsid w:val="00A0027A"/>
    <w:rsid w:val="00A00A50"/>
    <w:rsid w:val="00A13B29"/>
    <w:rsid w:val="00A141D8"/>
    <w:rsid w:val="00A55792"/>
    <w:rsid w:val="00A771DC"/>
    <w:rsid w:val="00A83529"/>
    <w:rsid w:val="00A91A2A"/>
    <w:rsid w:val="00A94E0C"/>
    <w:rsid w:val="00A96D2C"/>
    <w:rsid w:val="00AA64E6"/>
    <w:rsid w:val="00AA676B"/>
    <w:rsid w:val="00AB3F35"/>
    <w:rsid w:val="00AE11F6"/>
    <w:rsid w:val="00AE2AAA"/>
    <w:rsid w:val="00AF4578"/>
    <w:rsid w:val="00B213B4"/>
    <w:rsid w:val="00B4430D"/>
    <w:rsid w:val="00B86413"/>
    <w:rsid w:val="00BA1C1C"/>
    <w:rsid w:val="00BA1E5F"/>
    <w:rsid w:val="00BB55C0"/>
    <w:rsid w:val="00BD361F"/>
    <w:rsid w:val="00C370F4"/>
    <w:rsid w:val="00C54A96"/>
    <w:rsid w:val="00C92001"/>
    <w:rsid w:val="00C93CB9"/>
    <w:rsid w:val="00CB2EF2"/>
    <w:rsid w:val="00CB47E4"/>
    <w:rsid w:val="00CB482D"/>
    <w:rsid w:val="00CE7267"/>
    <w:rsid w:val="00CF1655"/>
    <w:rsid w:val="00D0470F"/>
    <w:rsid w:val="00D161DD"/>
    <w:rsid w:val="00DC1E6E"/>
    <w:rsid w:val="00DD6F0D"/>
    <w:rsid w:val="00E7571D"/>
    <w:rsid w:val="00EA7797"/>
    <w:rsid w:val="00F029CD"/>
    <w:rsid w:val="00F1119D"/>
    <w:rsid w:val="00F20C2B"/>
    <w:rsid w:val="00F23CFF"/>
    <w:rsid w:val="00F37A8D"/>
    <w:rsid w:val="00F71089"/>
    <w:rsid w:val="00F73BDE"/>
    <w:rsid w:val="00F842CF"/>
    <w:rsid w:val="00F91153"/>
    <w:rsid w:val="00FD75C5"/>
    <w:rsid w:val="00FE3A15"/>
    <w:rsid w:val="00FF0287"/>
    <w:rsid w:val="00FF37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Sarakstarindkopa">
    <w:name w:val="List Paragraph"/>
    <w:basedOn w:val="Parasts"/>
    <w:uiPriority w:val="34"/>
    <w:qFormat/>
    <w:rsid w:val="001443E4"/>
    <w:pPr>
      <w:ind w:left="720"/>
    </w:pPr>
    <w:rPr>
      <w:rFonts w:ascii="Calibri" w:eastAsiaTheme="minorHAnsi" w:hAnsi="Calibri" w:cs="Calibri"/>
      <w:sz w:val="22"/>
      <w:szCs w:val="22"/>
      <w:lang w:eastAsia="lv-LV"/>
    </w:rPr>
  </w:style>
  <w:style w:type="paragraph" w:customStyle="1" w:styleId="tv213">
    <w:name w:val="tv213"/>
    <w:basedOn w:val="Parasts"/>
    <w:rsid w:val="00772A3B"/>
    <w:pPr>
      <w:spacing w:before="100" w:beforeAutospacing="1" w:after="100" w:afterAutospacing="1"/>
    </w:pPr>
    <w:rPr>
      <w:rFonts w:ascii="Times New Roman" w:hAnsi="Times New Roman"/>
      <w:sz w:val="24"/>
      <w:szCs w:val="24"/>
      <w:lang w:eastAsia="lv-LV"/>
    </w:rPr>
  </w:style>
  <w:style w:type="paragraph" w:styleId="Vresteksts">
    <w:name w:val="footnote text"/>
    <w:basedOn w:val="Parasts"/>
    <w:link w:val="VrestekstsRakstz"/>
    <w:uiPriority w:val="99"/>
    <w:unhideWhenUsed/>
    <w:rsid w:val="00C93CB9"/>
    <w:rPr>
      <w:rFonts w:ascii="Times New Roman" w:eastAsiaTheme="minorHAnsi" w:hAnsi="Times New Roman"/>
    </w:rPr>
  </w:style>
  <w:style w:type="character" w:customStyle="1" w:styleId="VrestekstsRakstz">
    <w:name w:val="Vēres teksts Rakstz."/>
    <w:basedOn w:val="Noklusjumarindkopasfonts"/>
    <w:link w:val="Vresteksts"/>
    <w:uiPriority w:val="99"/>
    <w:rsid w:val="00C93CB9"/>
    <w:rPr>
      <w:rFonts w:eastAsiaTheme="minorHAnsi"/>
      <w:lang w:eastAsia="en-US"/>
    </w:rPr>
  </w:style>
  <w:style w:type="character" w:styleId="Vresatsauce">
    <w:name w:val="footnote reference"/>
    <w:basedOn w:val="Noklusjumarindkopasfonts"/>
    <w:uiPriority w:val="99"/>
    <w:unhideWhenUsed/>
    <w:rsid w:val="00C93C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332496783">
      <w:bodyDiv w:val="1"/>
      <w:marLeft w:val="0"/>
      <w:marRight w:val="0"/>
      <w:marTop w:val="0"/>
      <w:marBottom w:val="0"/>
      <w:divBdr>
        <w:top w:val="none" w:sz="0" w:space="0" w:color="auto"/>
        <w:left w:val="none" w:sz="0" w:space="0" w:color="auto"/>
        <w:bottom w:val="none" w:sz="0" w:space="0" w:color="auto"/>
        <w:right w:val="none" w:sz="0" w:space="0" w:color="auto"/>
      </w:divBdr>
    </w:div>
    <w:div w:id="476802912">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224948439">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likumi.lv/ta/id/17898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7A5B3-7002-4930-9308-C23F3A285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C5316-DE5A-4EF0-A58B-0BF79EB388B6}">
  <ds:schemaRefs>
    <ds:schemaRef ds:uri="http://schemas.microsoft.com/sharepoint/v3/contenttype/forms"/>
  </ds:schemaRefs>
</ds:datastoreItem>
</file>

<file path=customXml/itemProps3.xml><?xml version="1.0" encoding="utf-8"?>
<ds:datastoreItem xmlns:ds="http://schemas.openxmlformats.org/officeDocument/2006/customXml" ds:itemID="{639EB1EF-2DB8-436B-A0CF-4C5221FAAD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1606</Words>
  <Characters>11558</Characters>
  <Application>Microsoft Office Word</Application>
  <DocSecurity>0</DocSecurity>
  <Lines>96</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13138</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Kristīne Alberinga</cp:lastModifiedBy>
  <cp:revision>2</cp:revision>
  <cp:lastPrinted>2006-11-20T11:43:00Z</cp:lastPrinted>
  <dcterms:created xsi:type="dcterms:W3CDTF">2020-09-02T11:34:00Z</dcterms:created>
  <dcterms:modified xsi:type="dcterms:W3CDTF">2020-09-02T11:34:00Z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0x010100A696CD21B0F4114CB367D55052ABED3E</vt:lpwstr>
  </property>
</Properties>
</file>