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25-TA-2417: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30. jūnija noteikumos Nr. 328 "Noteikumi par Latvijas būvnormatīvu LBN 262-15 "Elektronisko sakaru tīkli""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Elektronisko komunikāciju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2015. gada 30. jūnija noteikumos Nr. 328 "Noteikumi par Latvijas būvnormatīvu LBN 262-15 "Elektronisko sakaru tīkli"" (Latvijas Vēstnesis, 2015, 125.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13.1 punktu:Optiskās šķiedras saskarnei galalietotāja telpā ir otršķirīga nozīme, jo optiskā kabeļa spraudnim jebkurā gadījumā jāatbilst galiekārtas adapterim. Daudz būtiskāk ir reglamentēt saskarni piekļuves punktā, lai dažādi pakalpojumu sniedzēji bez diskriminācijas varētu savu signālu padot jebkuram galalietotājam attiecīgajā ēkā. SC/UPC un SC/APC optiskie savienotāji nav savstarpēji savietojami, tādēļ šāda izvēles iespēja nebūtu vēlama. Praksē pašlaik lielākajā daļā jaunajos tīkos tiek izmantoti SC/APC tipa savienotāji.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13.1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Optiskās šķiedras saskarnei piekļuves punktā izmanto SC/APC tipa optiskos spraudņus un adapterus. Galalietotāja telpā optisko kabeli pabeidz ar galiekārtai atbilstošu optisko spraudni vai optisko rozeti ar SC/APC tipa optisko adapteri.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Ilmārs Muuls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2015. gada 30. jūnija noteikumos Nr. 328 "Noteikumi par Latvijas būvnormatīvu LBN 262-15 "Elektronisko sakaru tīkli"" (Latvijas Vēstnesis, 2015, 125.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spēkā stāšāns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12.februāris jau ir pagājis, tad šo punktu svītrot. Tādā gadījumā MK noteikumi stāsies spēkā nākamajā dienā pēc to izsludināšanas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Ilmārs Muuls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2015. gada 30. jūnija noteikumos Nr. 328 "Noteikumi par Latvijas būvnormatīvu LBN 262-15 "Elektronisko sakaru tīkli"" (Latvijas Vēstnesis, 2015, 125.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Publicēt noteikumu 4 .punktā visu nacionālo standartu sarakstu, kurus piemēro jebkuros elektronisko sakaru tīklos būtu ļoti laikietilpīgs pasākums bez praktiskas atdeves.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4. punktu šādā redakcijā: Nacionālā standartizācijas institūcija publicē tīmekļvietnē www.lvs.lv to Latvijas nacionālo standartu sarakstu, kurus piemēro </w:t>
            </w:r>
            <w:r w:rsidR="00000000" w:rsidRPr="00000000" w:rsidDel="00000000">
              <w:rPr>
                <w:u w:val="single"/>
                <w:rtl w:val="0"/>
              </w:rPr>
              <w:t xml:space="preserve">Gigabitiskās Infrastruktūras Akta prasību un</w:t>
            </w:r>
            <w:r w:rsidR="00000000" w:rsidRPr="00000000" w:rsidDel="00000000">
              <w:rPr>
                <w:rtl w:val="0"/>
              </w:rPr>
              <w:t xml:space="preserve"> Latvijas būvnormatīva LBN 262-15 "Elektronisko sakaru tīkli"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 termiņu 4.punkta izpildei - vai nu konkrētu datumu vai, piemēram, 2 mēnešu laikā no grozījumu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Ilmārs Muuls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25-TA-2417</w:t>
    </w:r>
    <w:r>
      <w:br/>
    </w:r>
    <w:r w:rsidR="00000000" w:rsidRPr="00000000" w:rsidDel="00000000">
      <w:rPr>
        <w:rtl w:val="0"/>
      </w:rPr>
      <w:t xml:space="preserve">Izdrukāts 09.03.2026. 09.31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25-TA-2417</w:t>
    </w:r>
    <w:r>
      <w:br/>
    </w:r>
    <w:r w:rsidR="00000000" w:rsidRPr="00000000" w:rsidDel="00000000">
      <w:rPr>
        <w:rtl w:val="0"/>
      </w:rPr>
      <w:t xml:space="preserve">Izdrukāts 09.03.2026. 09.31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Atzinumi_25-TA-2417.docx</dc:title>
</cp:coreProperties>
</file>

<file path=docProps/custom.xml><?xml version="1.0" encoding="utf-8"?>
<Properties xmlns="http://schemas.openxmlformats.org/officeDocument/2006/custom-properties" xmlns:vt="http://schemas.openxmlformats.org/officeDocument/2006/docPropsVTypes"/>
</file>