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sabiedrībai ar ierobežotu atbildību "Latvijas Digitālās veselības centrs" paredzētajām amata vietām un tām plānoto finansējumu izdevumiem atlīdzībām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projektu, norādot SIA “Digitālās kompetences centrs” darbības uzsākšanas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punktā “Pašreizējā situācija” precizēt atlīdzībai norādīto aprēķinu, jo, aprēķinot 6750 (mēnešalga)*1.174 (gada atlīdzības pieaugums 2023.gadā) *1.5 (IKT atlīdzība pret pārējo tirgu) * 1.2359 (DD VSAOI), veidojas 14 691 </w:t>
            </w:r>
            <w:r w:rsidR="00000000" w:rsidRPr="00000000" w:rsidDel="00000000">
              <w:rPr>
                <w:i w:val="1"/>
                <w:rtl w:val="0"/>
              </w:rPr>
              <w:t xml:space="preserve">euro</w:t>
            </w:r>
            <w:r w:rsidR="00000000" w:rsidRPr="00000000" w:rsidDel="00000000">
              <w:rPr>
                <w:rtl w:val="0"/>
              </w:rPr>
              <w:t xml:space="preserve">, nevis 14 300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30.07.2024.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30.07.2024.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