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š.g. 21.oktobra atzinuma 1.iebildumu un neatbalstām Ministru kabineta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jau šobrīd Kultūras ministrijas budžetā tiek plānots finansējums nevalstisko organizāciju darbības atbalstam saliedētas un pilsoniski aktīvas sabiedrības attīstības jomā. Līdz ar to, Kultūras ministrijai pastāv iespēja tās esošo valsts budžeta līdzekļu ietvaros nodalīt kādu līdzekļu kopumu, kura sadalei tiek izstrādāti kritēriji programmām vai projektiem, kuri varētu pretendēt uz valsts budžeta priekšfinansējumu Eiropas Savienības politikas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ņemot vērā, ka papildu atbalsta instruments – Atveseļošanas palīdzības programma kohēzijai un Eiropas teritorijām (REACT-EU) papildināja 2014. – 2020. gada fondu perioda finansējumu (Eiropas Reģionālās attīstības fonds un Eiropas Sociālā fonds), atbilstoši Eiropas Parlamenta un Padomes 2020. gada 23. decembra Regulai (ES) Nr. 2020/2221, ar ko Regulu (ES) Nr. 1303/2013 groza attiecībā uz papildu resursiem un īstenošanas kārtību, lai palīdzētu veicināt ar Covid-19 pandēmiju un tās sociālajām sekām saistītās krīzes seku pārvarēšanu un sagatavoties zaļai, digitālai un noturīgai ekonomikas atveseļošanai (REACT-EU).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20.11.2025.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20.11.2025.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Atzinumi_25-TA-1755.docx</dc:title>
</cp:coreProperties>
</file>

<file path=docProps/custom.xml><?xml version="1.0" encoding="utf-8"?>
<Properties xmlns="http://schemas.openxmlformats.org/officeDocument/2006/custom-properties" xmlns:vt="http://schemas.openxmlformats.org/officeDocument/2006/docPropsVTypes"/>
</file>