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35.2.2. 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noteikumu projekta 35.2.2.punktā minētie dati tiek uzkrāti, lai nodrošinātu Eiropas Parlamenta un Padomes 2021. gada 24. jūnija Regulas (ES) Nr. 2021/1057, ar ko izveido Eiropas Sociālo fondu Plus (ESF+) un atceļ Regulu (ES) Nr. 1296/2013 prasības? Gadījumā, ja attiecīgie dati tiek uzrāti, lai izpildītu minētās regulas prasības un tos iesniegtu Eiropas Komisijai, lūdzam precizēt noteikumu projekta 35.2.2.punktu, norādot, ka personu dati, kuras ir piedalījušās apmācību programmās saskaņā ar Eiropas Parlamenta un Padomes 2021. gada 24. jūnija Regulas (ES) Nr. 2021/1057, ar ko izveido Eiropas Sociālo fondu Plus (ESF+) un atceļ Regulu (ES) Nr. 1296/2013 I pielikumu un normatīvo aktu, kas nosaka Eiropas Savienības fondu projektu pārbaužu veikšanas kārtību 2021.–2027. gada plānošanas periodā 1.pielikumu un atbilstošu precizējumu veikt arī anotācijas 8.1.13.punktā.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dati tiek vākti tikai nozares vajadzībām, lūdzam papildināt noteikumu projektu ar mērķi personas datu uzkrāšanai un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informāciju, kādi dati tiks vākti " par piederības un pamattiesību jautājumiem, tostarp par  tiesiskajiem un praktiskajiem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atbalstu saņēmušām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personām saskaņā ar Eiropas Parlamenta un Padomes 2021. gada 24. jūnija Regulas (ES) Nr. 2021/1057, ar ko izveido Eiropas Sociālo fondu Plus (ESF+) un atceļ Regulu (ES) Nr. 1296/2013 pirmo pielikumu un normatīvajiem aktiem, kas nosaka Eiropas Savienības fondu projektu pārbaužu veikšanas kārtību 2021.–2027. gada plānošanas periodā, nodrošinot personu datu apstrādi saskaņā ar Eiropas Parlamenta un Padomes 2016. gada 27. aprīļa Regulas (ES) 2016/679 par fizisku personu aizsardzību attiecībā uz personas datu apstrādi un šādu datu brīvu apriti un ar ko atceļ Direktīvu 95/46/EK (Vispārīgā datu aizsardzības regula) 5. panta 1. punkta a) apakšpunktu likumīgi, godprātīgi un datu subjektam pārredzamā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normā ietvertajiem pienākumiem un tiesībām, ievērojot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noteikumu projekta 35.3.apakšpunktu, skaidri norādot, ka dati par atbalstu saņēmušām  šo noteikumu 3. punktā minētajām personām tiek uzkrāti saskaņā ar Eiropas Parlamenta un Padomes 2021. gada 24. jūnija Regulas (ES) Nr. 2021/1057, ar ko izveido Eiropas Sociālo fondu Plus (ESF+) un atceļ Regulu (ES) Nr. 1296/2013, I pielikumu un normatīvo aktu, kas nosaka Eiropas Savienības fondu projektu pārbaužu veikšanas kārtību 2021.–2027. gada plānošanas periodā. Gadījumā, ja dati tiek vākti tikai nozares vajadzībām, tad lūdzam svītrot atsauci uz Eiropas Parlamenta un Padomes 2021. gada 24. jūnija Regulas (ES) Nr. 2021/1057, ar ko izveido Eiropas Sociālo fondu Plus (ESF+) un atceļ Regulu (ES) Nr. 1296/2013, I pielikumu.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apakšpunktā ietvert pienākumu finansējuma saņēmējam, nodrošināt personu datu apstrādi saskaņā ar Eiropas Parlamenta un Padomes 2016. gada 27. aprīļa Regulas (ES) 2016/679 par fizisku personu aizsardzību attiecībā uz personas datu apstrādi un šādu datu brīvu apriti un ar ko atceļ Direktīvu 95/46/EK (Vispārīgā datu aizsardzības regula) 5. panta 1. punkta a) apakšpunktu likumīgā, godprātīgā un datu subjektam pārredzamā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īstenošanas gaitā radušos izmaksu sadārdzinājumu finansējuma saņēmējs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pienākumu finansējuma saņēmējam nodrošināt nepārklāšanās principu ar citiem valsts un ārvalstu finanšu atbalsta instrumentiem un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precizēt anotācijas 1.3.sadaļas apakšsadaļas "Risinājuma apraksts" desmito rindkopas informāciju par nacionāliem rādītājiem. Norādām, ja </w:t>
            </w:r>
            <w:r w:rsidR="00000000" w:rsidRPr="00000000" w:rsidDel="00000000">
              <w:rPr>
                <w:u w:val="single"/>
                <w:rtl w:val="0"/>
              </w:rPr>
              <w:t xml:space="preserve">dati tiek vākti, lai </w:t>
            </w:r>
            <w:r w:rsidR="00000000" w:rsidRPr="00000000" w:rsidDel="00000000">
              <w:rPr>
                <w:rtl w:val="0"/>
              </w:rPr>
              <w:t xml:space="preserve">izpildītu Eiropas Parlamenta un Padomes 2021. gada 24. jūnija Regulas (ES) Nr. 2021/1057, ar ko izveido Eiropas Sociālo fondu Plus (ESF+) un atceļ Regulu (ES) Nr. 1296/2013 prasības un tos attiecīgi </w:t>
            </w:r>
            <w:r w:rsidR="00000000" w:rsidRPr="00000000" w:rsidDel="00000000">
              <w:rPr>
                <w:u w:val="single"/>
                <w:rtl w:val="0"/>
              </w:rPr>
              <w:t xml:space="preserve">ziņotu Eiropas Komisijai</w:t>
            </w:r>
            <w:r w:rsidR="00000000" w:rsidRPr="00000000" w:rsidDel="00000000">
              <w:rPr>
                <w:rtl w:val="0"/>
              </w:rPr>
              <w:t xml:space="preserve">, tad attiecīgie dati tiek iesniegti, ievērojot Ministru kabineta 2023.gada 21. martā noteikumu Nr.135 "Eiropas Savienības fondu projektu pārbaužu veikšanas kārtība 2021.–2027. gada plānošanas periodā" prasības, t.i., finansējuma saņēmējs saskaņā ar līgumu vai vienošanos par projekta īstenošanu vienu reizi gadā līdz 30. janvārim (par iepriekšējo kalendāra gadu) un, ja attiecināms, arī kopā ar noslēguma maksājuma pieprasījumu ievada kohēzijas politikas fondu vadības informācijas sistēmā pārskatu par projekta dalībniekiem (minēto noteikumu 1.pielikums). Atbilstoši minēto noteikumu 55.punktam sadarbības iestāde pārbauda un apstiprina finansējuma saņēmēja iesniegto pārskatu par projekta dalībniekiem 80 dienu laikā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iekļauta informācija, ka: "Projekta iesniedzējs sadarbībā ar projekta sadarbības partneri izstrādā latviešu valodas studiju programmas satura ieviešanas plānu. Latviešu valodas studiju programma tiks īstenota kā vispārējās izglītības sistēmas daļa un Latvijas Universitāte šī pasākuma ietvaros nav kvalificējama kā saimnieciskās darbības veicējs, un pasākumam piešķirtais atbalsts  nav saistīts ar saimnieciskās darbības veikšanu atbilstoši Eiropas Komisijas dokumenta “Komisijas paziņojums par Līguma par Eiropas Savienības darbību 107. panta 1. punktā minēto valsts atbalsta jēdzienu” (2016/C 262/01) (turpmāk – EK paziņojums) 28.punktam, kurā minēts, ka valsts izglītības sistēmas ietvaros nodrošināta valsts izglītība, ko finansē un uzrauga valsts, var tikt uzskatīta par nesaimniecisko darbību. Latvijas Universitāte  īstenos projektu ar saviem cilvēkresursiem, kas būs projekta vadības un īstenošanas personāls, personālam sedzot vienīgi faktiskās nepieciešamās izmaksas, kas būs pamatotas un pierādāmas." Vēršam uzmanību, ka atbilstība EK paziņojuma 28.punktam vien vēl nenodrošina, ka atbalsta pasākums ir nesaimniecisks. Attiecīgi uzturam savu iebildumu daļā, ka nepieciešams papildināt anotāciju ar informāciju par ieņēmumu attiecību pret izdevumiem, kā arī anotācijā skaidrot, ka/kā tiks nodalītas saimnieciskās un nesaimnieciskās darbības izmaksas un ieņēmumi. Atkārtoti vēršam uzmanību uz EK paziņojuma 29.punktu, kurā norādīts, ka arī gadījumos, ja skolēnu vecāki sedz daļu (t.i., ne vairāk kā 50% apmērā) no mācību vai uzņemšanas maksas, kas aptver tikai daļu no konkrētā pakalpojuma patiesajām izmaksām, šāda samaksa nav uzskatāma par atlīdzību par sniegto pakalpojumu, tādējādi, ja tiek konstatēts, ka studiju maksas un citi ieņēmumi no izglītības pakalpojumu sniegšanas nepārsniedz 50% robežvērtību, darbība ir nesaimnieciska.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 – 2027. gadam 4.2. prioritātes "Izglītība, prasmes un mūžizglītība"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pasākumu "Latviešu valodas apguves piedāvājuma paplašināšana"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noteikumu projekta 1.1.apakšpunkta redakciju ar noteikumu projekta nosaukumu, rosinām svītrot vārdus "4.2. prioritātes "Izglītība, prasmes un mūžizglītība".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5. punkta redakciju, precizējot rādītāju veidus atbilstoši Vadošās iestādes vadlīnijas “Vadlīnijas Ministru kabineta noteikumu par specifiskā atbalsta mērķa īstenošanu izstrādei” noteiktajam, kas nosaka, ka ir paredzēti trīs rādītāju veidi - iznākuma rādītāji, rezultāta rādītāji un nacionālie rādītāji. T.i., lūdzam vārdus "programmas iznākuma rādītājs" aizstāt ar vārdiem "iznākuma rādītājs", vārdus "programmas rezultāta rādītājs" aizstāt ar vārdiem "rezultāta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Atbildīgā iestāde pēc Eiropas Komisijas lēmuma par vidusposma pārskatu var ierosināt palielināt pasākumam pieejamo kopējo attiecināmo finansējumu līdz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plānotajam kopējam attiecināmā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8. punkta redakciju atbilstoši vadlīnijās Nr.1.4. "Vadlīnijas Ministru kabineta noteikumu par specifiskā atbalsta mērķa īstenošanu izstrādei Eiropas Savienības fondu 2021.—2027. gada plānošanas periodā"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Atbildīgā iestāde pēc Eiropas Komisijas lēmuma par vidusposma pārskatu var ierosināt no 2026. gada 1. janvāra palielināt pasākumam pieejamo kopējo finansējumu līdz šo noteikumu 6. punktā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un projekta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2023.gada 13.jūlija protokollēmuma Nr.36 85. § 3.punktā, noteikto, aicinām izvērtēt un, ja attiecināms, papildināt noteikumu projektu ar pienākumu finansējuma saņēmējam veikt izvērtējumu par izmaksu un ieguvumu analīzi. Vienlaikus lūdzam papildināt anotāciju ar skaidrojumu risinājuma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un projekta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II nodaļas nosaukumu ar vārdiem ", finansējuma saņēmējam" aiz vārda "iesniedzējam", ņemot vērā noteikumu projekta 13. un 15.punktā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pasākuma ietvaros ir Latvijas Universitāte, kas pēc projekta iesnieguma apstiprināšanas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12.punktā vārdu "arī" pirms vārdiem "finansējuma saņēmējs". Skaidrojam, ka atbilstoši Eiropas Savienības fondu 2021-2027.gada plānošanas perioda vadības likumā minētam, finansējuma saņēmējs ir persona, kuras projekta iesniegums </w:t>
            </w:r>
            <w:r w:rsidR="00000000" w:rsidRPr="00000000" w:rsidDel="00000000">
              <w:rPr>
                <w:u w:val="single"/>
                <w:rtl w:val="0"/>
              </w:rPr>
              <w:t xml:space="preserve">ir</w:t>
            </w:r>
            <w:r w:rsidR="00000000" w:rsidRPr="00000000" w:rsidDel="00000000">
              <w:rPr>
                <w:rtl w:val="0"/>
              </w:rPr>
              <w:t xml:space="preserve"> apstiprināts.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projektu īsteno sadarbībā ar Latviešu valodas aģentūru. Finansējuma saņēmējs sadarbības partneri iesaista šo noteikumu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minētās atbalstāmās darbības īstenošanā. Finansējuma saņēmējs kā projekta ekspertus piesaista šo noteikumu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minētās atbalstāmās darbības īstenošanā arī citu Latvijas vai ārvalstu augstskolu docētājus.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kādas funkcijas projekta ietvaros veiks noteikumu projekta 13. punktā minētie eksperti.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projektu īsteno sadarbībā ar Latviešu valodas aģentūru. Finansējuma saņēmējs sadarbības partneri iesaista šo noteikumu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minētās atbalstāmās darbības īstenošanā. Finansējuma saņēmējs kā projekta ekspertus piesaista šo noteikumu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minētās atbalstāmās darbības īstenošanā arī citu Latvijas vai ārvalstu augstskolu docētājus.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13.punkta pēdējo teikumu kā atsevišķu punktu, ņemot vērā, ka nosacījums attiecas ekspertu piesaisti. Papildus lūdzam skaidrot vai šāda ekspertu iesaiste ir obligāta vai izvēlēs nosacījums.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konflikta neesamības apliecinājums un nosacījumi, kā finansējuma saņēmējs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vārdu “interešu” pirms vārda “konflikta” noteikumu projekta 15.2. apakšpunkta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16.1.4. komunikācijas un publicitātes pasākumi latviešu valodas studiju programmas mērķauditorijas piesaistei un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16.1.4.punktu, 16.3. un 18.4.apakšpunktu un 33. punktu. Attiecīgu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vietas aprīkojuma iegādei vai nomai, tai skaitā aprīkojuma uzturēšanai un remontam, finansējuma saņēmēja projekta vadības un īstenošanas personālam un sadarbības partnera projekta īstenošanas personālam jaunu darba vietu radīšanai vai esošo darba vietu atjaunošanai var paredzēt ne vairāk kā 3 000 euro apmērā vienai darba vietai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18.3.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vārdu “darba” pirms vārda “vietas” noteikumu projekta 18.3. apakšpunkta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pirmā teikuma redakciju, skaidri norādot, ka šajā apakšpunktā plānotas izmaksas, šo teikumu izsakot, piemēram, šādā redakcijā "darba vietas aprīkojuma iegādes vai nomas, tai skaitā aprīkojuma uzturēšanas un remonta izmaksas, finansējuma saņēmēja projekta vadības un īstenošanas personālam un sadarbības partnera projekta īstenošanas personālam jaunu darba vietu radīšanai vai esošo darba vietu atjaunošanai  ne vairāk kā 3 000 euro apmērā vienai darba vietai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pakalpojumu izmaksas horizontālā principa “Vienlīdzība, iekļaušana, nediskriminācija un pamattiesību ievērošana” darbību īstenošanai, tai skaitā ekspertu konsultācijas, pandusu, riteņkrēslu pacēlāju noma, indukcijas cilpu noma, zīmju valodas tulka, reāllaika transkripcijas, subtitru nodrošināšana latviešu valodas studiju programmas studējošajiem vai vadības un īstenošanas personālam pēc nepieciešamības, kā arī studiju programmas mācību līdzekļu, publicitātes un komunikācijas materiālu sagatavošana un izplatīšana piekļūstamos formātos, nodrošinot to uztveramību ar vairāk kā vienu sensoro kanālu;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ar vārdu "projekta" pirms vārda "vadības".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atsevišķu punktu , kurā noteikts </w:t>
            </w:r>
            <w:r w:rsidR="00000000" w:rsidRPr="00000000" w:rsidDel="00000000">
              <w:rPr>
                <w:b w:val="1"/>
                <w:u w:val="single"/>
                <w:rtl w:val="0"/>
              </w:rPr>
              <w:t xml:space="preserve">pienākums finansējuma saņēmējam </w:t>
            </w:r>
            <w:r w:rsidR="00000000" w:rsidRPr="00000000" w:rsidDel="00000000">
              <w:rPr>
                <w:rtl w:val="0"/>
              </w:rPr>
              <w:t xml:space="preserve">izstrādāt nosacījumus, kā tas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 Kā arī, aicinām noteikumos iekļauj prasību, ka finansējuma saņēmējs un sadarbības partneris paraksta interešu konflikta neesamības apliecinājumu. Vēršam uzmanību, ka finansējuma saņēmējam un sadarbības partnerim, cita starpā jānodrošina, ka, īstenojot projektu, neiestājas interešu konflikts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iesniedzējs sadarbībā ar projekta sadarbības partneri izstrādā latviešu valodas studiju programmas satura ieviešanas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25.punktā vārdus "Projekta iesniedzējs" ar vārdiem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Latviešu valodas studiju programmas studējošajiem mērķstipendijas un latviešu valodas studiju programmas apguvi nodrošina līdz 10 mēnešiem vai līdz 14 mēnešiem atbilstoši izvēlētās latviešu valodas studiju programmas apakšprogrammas garumam.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par stipendijas izmaksas ilgumu, rosinām papildināt anotāciju, skaidrojot katrai no anotācijā minētajām apakšprogrammām (studiju apakšprogramma (vismaz 40 KP), kas paredzēta personām, kurām ir iepriekšējas zināšanas latviešu filoloģijā, un studiju apakšprogramma (vismaz 60 KP), kas paredzēta personām, kurām nav iepriekšēju zināšanu latviešu filoloģijā) noteikto stipendijas izmaksas ilgumu mēnešos, t.i., norādot, cik ilgi tiek izmaksāta stipendija katrā no apakšprogrammām studējošajiem.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īstenošanas uzraudzībai Izglītības un zinātnes ministrija izveido projekta uzraudzības padomi, kurā uzaicina piedalīties Kultūras ministrijas, Sabiedrības integrācijas fonda un Izglītības kvalitātes valsts dienesta pārstāvjus. Projekta uzraudzības padomes sastāvā novērotāju statusā var tikt iekļauti pārstāvji arī no citām organizācijām un institūcijām, tai skaitā  no Centrālās finanšu un līgumu aģentūras. Padomes darbību nosaka Izglītības un zinātnes ministrijas izstrādāts un apstiprināts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28.punktā vārdus "Centrālās finanšu un līgumu aģentūras" ar vārdiem "sadarbības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īstenošanas laikā finansējuma saņēmējam ir iespēja saņemt avansu, to var izmaksāt pa daļām. Viens avansa maksājums nepārsniedz 30 procentus no projektam piešķirtā Eiropas Sociālā fonda Plus finansējuma un valsts budžeta līdzfinansējuma kopsummas. Finansējuma saņēmējam  avansa un starpposma maksājumu kopsumma var būt 100 procenti no projektam piešķirtā Eiropas Sociālā fonda Plus finansējuma un valsts budžeta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skaidrojumu par nepieciešamību, noteikt avansa un starpposma maksājumu kopsummu 100%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izziņā sniegtā skaidrojuma, nav īsti izsecināma argumentācija vienkāršoto izmaksu plašākai nepiemērošanai, tāpēc aicinām anotāciju papildināt ar argumentētu pamatojumu, kāpēc plašāka vienkāršoto izmaksu piemērošana pašlaik nav paredzēta, jo īpaši mērķstipendijas izmaksām, ņemot vērā, ka gandrīz pusi no pasākuma kopējā finansējuma paredzēts novirzīt tieši šīm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1.3.sadaļas apakšsadaļā "Risinājuma apraksts" vienpadsmitās rindkopas 5.punktā vārdus "normatīvajiem aktiem par Eiropas Savienības fondu ieviešanu 2021.–2027. gada plānošanas periodā;" ar vārdiem "normatīvajiem aktiem, kas nosaka kārtību, kādā Eiropas Savienības fondu vadībā iesaistītās institūcijas nodrošina šo fondu ieviešanu 2021.–2027.gada plānošanas periodā, kā arī ievēro Eiropas Savienības fondu 2021.–2027. gada plānošanas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apakšsadaļas "Risinājuma apraksts" desmito rindkopu ar tiesisko pamatojumu Izglītības un zinātnes ministrijai projekta īstenošanas uzraudzību izveidot uzraudzības padomi, kurai finansējuma saņēmējam tiek noteikts pienākums reizi sešos mēnešos sniegt ziņojumu par projekta īstenošanas progresu. Vēršam uzmanību, ka šāds pienākums neizriet no Eiropas Savienības fondu 2021-2027.gada plānošanas perioda vadības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5.1.sadaļu ar atsauci uz Eiropas Parlamenta un Padomes 2021. gada 24. jūnija Regulas (ES) Nr. 2021/1057, ar ko izveido Eiropas Sociālo fondu Plus (ESF+) un atceļ Regulu (ES) Nr. 1296/2013 I pielikumu,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anotācijas 7.punktu ar Izglītības un zinātnes ministriju kā nozares ministriju, ņemot vērā tai noteikto pienākumu noteikumu projekta 28.punktā.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sēdes protokollēmumu ar šādiem</w:t>
            </w:r>
            <w:r w:rsidR="00000000" w:rsidRPr="00000000" w:rsidDel="00000000">
              <w:rPr>
                <w:u w:val="single"/>
                <w:rtl w:val="0"/>
              </w:rPr>
              <w:t xml:space="preserve"> </w:t>
            </w:r>
            <w:r w:rsidR="00000000" w:rsidRPr="00000000" w:rsidDel="00000000">
              <w:rPr>
                <w:b w:val="1"/>
                <w:u w:val="single"/>
                <w:rtl w:val="0"/>
              </w:rPr>
              <w:t xml:space="preserve">punktiem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ietvertā informācija ir zem sadaļas "runātāji" , kuru aizpilda VK. Izstrādājot TA, netiek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22-TA-3068</w:t>
    </w:r>
    <w:r>
      <w:br/>
    </w:r>
    <w:r w:rsidR="00000000" w:rsidRPr="00000000" w:rsidDel="00000000">
      <w:rPr>
        <w:rtl w:val="0"/>
      </w:rPr>
      <w:t xml:space="preserve">Izdrukāts 01.08.2023. 22.26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22-TA-3068</w:t>
    </w:r>
    <w:r>
      <w:br/>
    </w:r>
    <w:r w:rsidR="00000000" w:rsidRPr="00000000" w:rsidDel="00000000">
      <w:rPr>
        <w:rtl w:val="0"/>
      </w:rPr>
      <w:t xml:space="preserve">Izdrukāts 01.08.2023. 22.26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Atzinumi_22-TA-3068.docx</dc:title>
</cp:coreProperties>
</file>

<file path=docProps/custom.xml><?xml version="1.0" encoding="utf-8"?>
<Properties xmlns="http://schemas.openxmlformats.org/officeDocument/2006/custom-properties" xmlns:vt="http://schemas.openxmlformats.org/officeDocument/2006/docPropsVTypes"/>
</file>