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9. oktobra noteikumos Nr. 631 "Higiēnas prasības skaistumkopšanas pakalpojumu sniegšanai"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Skaistumkopšanas pakalpojumu sniedzēji, kas nav sertificētas ārstniecības personas ar kvalifikāciju skaistumkopšanā, bet līdz 2025. gada 31. decembrim snieguši skaistumkopšanas pakalpojumus, izmantojot regulas Nr.2017/745 16. pielikumā minētos izstrādājumus, šos pakalpojumus var turpināt sniegt līdz 2028. gada 30.jūnijam, darot to tikai sertificētas ārstniecības personas ar iegūtu kvalifikāciju skaistumkopšanā uzraudzībā.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lūdzam sniegt skaidrojumu, kādā veidā paredzēts identificēt skaistumkopšanas pakalpojumu sniedzējus, kuri šobrīd nav sertificētas ārstniecības personas ar kvalifikāciju skaistumkopšanā, bet līdz 2025. gada 31. decembrim turpina sniegt skaistumkopšanas pakalpojumus, izmantojot regulas Nr.2017/745 16. pielikumā minētos izstrādājumus. Ja par minēto pakalpojumu sniegšanu nav iespējams objektīvi pārliecināties, lūdzam attiecīgi precizēt projekta regulējumu, lai pārejas regulējuma kritēriji būtu viegli identificējami.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attiecībā uz to, ka nepieciešamības gadījumā saīsinājumu piesaka pirmajā vietā juridiskajā tekstā, kur lietots attiecīgais normatīvā akta nosaukums, piemēram, šādā formātā: Komisijas 2020. gada 30. jūlija īstenošanas regula (ES) 2020/1197, ar kuru nosaka tehniskās specifikācijas un kārtību saskaņā ar Eiropas Parlamenta un Padomes regulu (ES) 2019/2152 par Eiropas uzņēmējdarbības statistiku, ar ko atceļ 10 tiesību aktus uzņēmējdarbības statistikas jomā, (turpmāk - Regula 2020/1197). Minētais attiecas, piemēram, uz anotācijas daļu "[..] </w:t>
            </w:r>
            <w:r w:rsidR="00000000" w:rsidRPr="00000000" w:rsidDel="00000000">
              <w:rPr>
                <w:i w:val="1"/>
                <w:rtl w:val="0"/>
              </w:rPr>
              <w:t xml:space="preserve">medicīnisko ierīču regulas (turpmāk - regula 2017/745))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aizpildīt projekta anotācijas 5. sadaļu, nodrošinot informāciju par projekta atbilstību Latvijas Republikas starptautiskajām saistībām un to izpildes atspoguļojumu (anotācijas 5. sadaļas aizpildīšanā iesakām ievērot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atsauču uz regulu un tās vienībām ietveršana normatīvajos aktos pēc būtības ir regulas prasību ieviešana, jo tādējādi tiek nodrošināta tās prasību praktiskā piemērošana. Atbilstoši projekta redakcijai tā 1.1. apakšpunkts ievieš </w:t>
            </w:r>
            <w:r w:rsidR="00000000" w:rsidRPr="00000000" w:rsidDel="00000000">
              <w:rPr>
                <w:i w:val="1"/>
                <w:rtl w:val="0"/>
              </w:rPr>
              <w:t xml:space="preserve">Eiropas Parlamenta un Padomes 2017. gada 5. aprīļa Regulas (ES) Nr. 2017/745, kas attiecas uz medicīniskām ierīcēm, ar ko groza Direktīvu 2001/83/EK, Regulu (EK) Nr. 178/2002 un Regulu (EK) Nr. 1223/2009 un atceļ Padomes Direktīvas 90/385/EK un 93/42/EEK,</w:t>
            </w:r>
            <w:r w:rsidR="00000000" w:rsidRPr="00000000" w:rsidDel="00000000">
              <w:rPr>
                <w:rtl w:val="0"/>
              </w:rPr>
              <w:t xml:space="preserve"> 16. pielikumu un atbilstoši anotācijas 1.3. apakšsadaļas skaidrojumiem - arī ar to grozošo </w:t>
            </w:r>
            <w:r w:rsidR="00000000" w:rsidRPr="00000000" w:rsidDel="00000000">
              <w:rPr>
                <w:i w:val="1"/>
                <w:rtl w:val="0"/>
              </w:rPr>
              <w:t xml:space="preserve">Komisijas 2022. gada 1. decembra Īstenošanas regulu (ES) 2022/2347, ar kuru paredz noteikumus par to, kā Eiropas Parlamenta un Padomes Regulu (ES) 2017/745 piemēro attiecībā uz noteiktu nemedicīniskam nolūkam paredzētu aktīvo izstrādājumu grupu pārklasificēšanu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25-TA-2407</w:t>
    </w:r>
    <w:r>
      <w:br/>
    </w:r>
    <w:r w:rsidR="00000000" w:rsidRPr="00000000" w:rsidDel="00000000">
      <w:rPr>
        <w:rtl w:val="0"/>
      </w:rPr>
      <w:t xml:space="preserve">Izdrukāts 24.11.2025.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25-TA-2407</w:t>
    </w:r>
    <w:r>
      <w:br/>
    </w:r>
    <w:r w:rsidR="00000000" w:rsidRPr="00000000" w:rsidDel="00000000">
      <w:rPr>
        <w:rtl w:val="0"/>
      </w:rPr>
      <w:t xml:space="preserve">Izdrukāts 24.11.2025.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Atzinumi_25-TA-2407.docx</dc:title>
</cp:coreProperties>
</file>

<file path=docProps/custom.xml><?xml version="1.0" encoding="utf-8"?>
<Properties xmlns="http://schemas.openxmlformats.org/officeDocument/2006/custom-properties" xmlns:vt="http://schemas.openxmlformats.org/officeDocument/2006/docPropsVTypes"/>
</file>