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panta pirmo daļu izteikt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Detālplānojumu var Administratīvā procesa likumā noteiktajā kārtībā pārsūdzēt administratīvajā tiesā mēneša laikā pēc detālplānojuma paziņošanas, neatkarīgi vai detālplānojumā norādīta tā pārsūdzēšanas kārtība un termiņš.”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pamatojumu projekta 3. pantā ietvertajam grozījumam Likuma 30. panta pirmajā daļā un projekta 4. pantā ietvertajiem grozījumiem, kas paredz izslēgt Likuma 31. panta trešās daļas pirmo teikumu un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grozījumi par 29. panta izteikšanu jaunā redakcijā, 31. panta pirmās daļas izslēgšanu un 31. panta otrās daļas izteikšanu jaunā redakcijā stājas spēkā 2026. gada 31.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3. pantā ietvertais grozījums Likuma 30. panta pirmajā daļā ir saistīts ar projekta 2. pantā ietverto Likuma 29. pantu, aicinām papildināt projekta 5. pantā ietverto Likuma pārejas noteikumu 19. punktu ar atsauci uz grozījumiem Likuma 30. panta pirmajā daļā. Vienlaikus aicinām apsvērt nepieciešamību minētajā pārejas noteikumu punktā ietvert atsauces uz Likuma 31. panta trešās daļas pirmā teikuma un ceturtās daļas izslēgšanu.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02.10.2025.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02.10.2025.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