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8. septembra noteikumos Nr. 723 "Noteikumi par prasībām kompetentām institūcijām un kompetentiem speciālistiem darba aizsardzības jautājumos un kompetences novērtēšanas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14230 </w:t>
            </w:r>
            <w:r w:rsidR="00000000" w:rsidRPr="00000000" w:rsidDel="00000000">
              <w:rPr>
                <w:i w:val="1"/>
                <w:rtl w:val="0"/>
              </w:rPr>
              <w:t xml:space="preserve">euro</w:t>
            </w:r>
            <w:r w:rsidR="00000000" w:rsidRPr="00000000" w:rsidDel="00000000">
              <w:rPr>
                <w:rtl w:val="0"/>
              </w:rPr>
              <w:t xml:space="preserve">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kas regulē minimālo CTA limitu, pamatā nosaka konkrētu summu. Ievērojot, ka šie limiti netiek regulāri pārskatīti, veidojās situācija, ka tie neatbilst aktuālajai ekonomiskajai situācijai, jo ir neelastīgi. Piemēram, Zviedrijā reizi divos gados tiek veikti ekonomiskie apsekojumi, kuros vērtē ekonomiskos procesus un citus aspektus. Latvijā šādi regulāri pētījumi netiek veikti un līdz ar to arī netiek regulāri pārskatīti minimālie CTA limiti. Šajos noteikumos CTA limiti nav grozīti kopš MK noteikumu pieņemšanas, bet ekonomiskā situācija šo 14 gadu laikā gan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minimālo CTA limitu piesaistīt Latvijā regulāri indeksējamam ekonomiskam lielumam – minimālajai mēneša darba algai – līdzīgi, kā tas ir noteikts spēkā esošajā  Rūpnieciskā īpašuma institūciju un procedūru likumā. Slēdzot līgumu tiktu ņemta vērā līguma noslēgšanas dienā spēkā esošā minimālā mēneša darba alga. Saskaņā ar LAA iesniegtajiem grozījumiem, no 2023.gada 1.janvāra kompetentā speciālista minimālais CTA limits tiktu pielīdzināts 25 minimālajām mēneša darba algām, kas no normas spēkā stāšanās brīža būtu  15 500 euro (šobrīd spēkā esošais limits ir 14230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kompetentā institūcija ir apdrošinājusi savu civiltiesisko atbildību tādā apjomā, lai segtu iespējamās kļūdas dēļ pakalpojuma saņēmējam radušos zaudējumus, kas sadarbībā ar institūcijas izvēlēto apdrošinātāju aprēķināti institūcijas darbības jomas risku novērtējumā, bet ne mazāk kā 28460 </w:t>
            </w:r>
            <w:r w:rsidR="00000000" w:rsidRPr="00000000" w:rsidDel="00000000">
              <w:rPr>
                <w:i w:val="1"/>
                <w:rtl w:val="0"/>
              </w:rPr>
              <w:t xml:space="preserve">euro</w:t>
            </w:r>
            <w:r w:rsidR="00000000" w:rsidRPr="00000000" w:rsidDel="00000000">
              <w:rPr>
                <w:rtl w:val="0"/>
              </w:rPr>
              <w:t xml:space="preserve"> apmērā. Kompetentās institūcijas civiltiesiskajai atbildībai ir jābūt apdrošinātai visā kompetentās institūcijas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kas regulē minimālo CTA limitu, pamatā nosaka konkrētu summu. Ievērojot, ka šie limiti netiek regulāri pārskatīti, veidojās situācija, ka tie neatbilst aktuālajai ekonomiskajai situācijai, jo ir neelastīgi. Piemēram, Zviedrijā reizi divos gados tiek veikti ekonomiskie apsekojumi, kuros vērtē ekonomiskos procesus un citus aspektus. Latvijā šādi regulāri pētījumi netiek veikti un līdz ar to arī netiek regulāri pārskatīti minimālie CTA limiti. Šajos noteikumos CTA limiti nav grozīti kopš MK noteikumu pieņemšanas, bet ekonomiskā situācija šo 14 gadu laikā gan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minimālo CTA limitu piesaistīt Latvijā regulāri indeksējamam ekonomiskam lielumam – minimālajai mēneša darba algai – līdzīgi, kā tas ir noteikts spēkā esošajā  Rūpnieciskā īpašuma institūciju un procedūru likumā. Slēdzot līgumu tiktu ņemta vērā līguma noslēgšanas dienā spēkā esošā minimālā mēneša darba alga. Saskaņā ar LAA iesniegtajiem grozījumiem, no 2023.gada 1.janvāra kompetentās institūcijas minimālais CTA limits, kas ir tieši 2x lielāks par speciālista CTA limitu, tiktu pielīdzināts 50 minimālajām mēneša darba algām, kas no normas spēkā stāšanās brīža būtu 31 000 euro (šobrīd spēkā esošais limits ir 28460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kompetentā institūcija ir apdrošinājusi savu civiltiesisko atbildību tādā apjomā, lai segtu iespējamās kļūdas dēļ pakalpojuma saņēmējam radušos zaudējumus, kas sadarbībā ar institūcijas izvēlēto apdrošinātāju aprēķināti institūcijas darbības jomas risku novērtējumā, bet ne mazāk kā 50 Latvijā apdrošināšanas līguma noslēgšanas dienā noteikto minimālo mēneša darba algu apmērā. Kompetentās institūcijas civiltiesiskajai atbildībai ir jābūt apdrošinātai visā kompetentās institūcijas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kompetentās institūcijas civiltiesiskās atbildības apdrošināšana ne mazāk kā 28460 </w:t>
            </w:r>
            <w:r w:rsidR="00000000" w:rsidRPr="00000000" w:rsidDel="00000000">
              <w:rPr>
                <w:i w:val="1"/>
                <w:rtl w:val="0"/>
              </w:rPr>
              <w:t xml:space="preserve">euro</w:t>
            </w:r>
            <w:r w:rsidR="00000000" w:rsidRPr="00000000" w:rsidDel="00000000">
              <w:rPr>
                <w:rtl w:val="0"/>
              </w:rPr>
              <w:t xml:space="preserve"> apmērā, kas garantē kompetentās institūcijas kļūdas dēļ radušos zaudējumu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iepriekš norādītajai argumentācijai par CTA limitu piesaistīt Latvijā regulāri indeksējamam ekonomiskam lielumam – minimālajai mēneša darba algai – līdzīgi, kā tas ir noteikts spēkā esošajā  Rūpnieciskā īpašuma institūciju un procedūru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kompetentās institūcijas civiltiesiskās atbildības apdrošināšana ne mazāk kā 50 Latvijā apdrošināšanas līguma noslēgšanas dienā noteikto minimālo mēneša darba algu apmērā, kas nodrošina kompetentās institūcijas kļūdas dēļ radušos zaudējumu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pierādījumus par institūcijas civiltiesiskās atbildības apdrošināšanu ne mazāk kā 28460 </w:t>
            </w:r>
            <w:r w:rsidR="00000000" w:rsidRPr="00000000" w:rsidDel="00000000">
              <w:rPr>
                <w:i w:val="1"/>
                <w:rtl w:val="0"/>
              </w:rPr>
              <w:t xml:space="preserve">euro</w:t>
            </w:r>
            <w:r w:rsidR="00000000" w:rsidRPr="00000000" w:rsidDel="00000000">
              <w:rPr>
                <w:rtl w:val="0"/>
              </w:rPr>
              <w:t xml:space="preserve"> apmērā, kas garantē kompetentās institūcijas kļūdas dēļ radušos zaudējumu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iepriekš norādītajai argumentācijai par CTA limitu piesaistīt Latvijā regulāri indeksējamam ekonomiskam lielumam – minimālajai mēneša darba algai.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pierādījumus par institūcijas civiltiesiskās atbildības apdrošināšanu ne mazāk kā 50 Latvijā apdrošināšanas līguma noslēgšanas dienā noteikto minimālo mēneša darba algu apmērā, kas nodrošina kompetentās institūcijas kļūdas dēļ radušos zaudējumu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Slēdzot līgumu tiktu ņemta vērā līguma noslēgšanas dienā spēkā esošā minimālā mēneša darba alga. Jaunais princips tiktu piemērots  no 2023.gada 1.janvāra, kas nodrošinātu pakāpeniskāku limita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jautājumus” ar jaunu 80.</w:t>
            </w:r>
            <w:r w:rsidR="00000000" w:rsidRPr="00000000" w:rsidDel="00000000">
              <w:rPr>
                <w:vertAlign w:val="superscript"/>
                <w:rtl w:val="0"/>
              </w:rPr>
              <w:t xml:space="preserve">2</w:t>
            </w:r>
            <w:r w:rsidR="00000000" w:rsidRPr="00000000" w:rsidDel="00000000">
              <w:rPr>
                <w:rtl w:val="0"/>
              </w:rPr>
              <w:t xml:space="preserve"> punktu šādā redakcijā: 80.</w:t>
            </w:r>
            <w:r w:rsidR="00000000" w:rsidRPr="00000000" w:rsidDel="00000000">
              <w:rPr>
                <w:vertAlign w:val="superscript"/>
                <w:rtl w:val="0"/>
              </w:rPr>
              <w:t xml:space="preserve">2</w:t>
            </w:r>
            <w:r w:rsidR="00000000" w:rsidRPr="00000000" w:rsidDel="00000000">
              <w:rPr>
                <w:rtl w:val="0"/>
              </w:rPr>
              <w:t xml:space="preserve"> Šo noteikumu 45.punkts, 46.2., 54.2., 59.4. apakšpunkts un Pielikuma sadaļā “Pievienotie dokumenti” 4.apakšpunkts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 atbilstoši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pierādījumi par institūcijas civiltiesiskās atbildības apdrošināšanu ne mazāk kā 50 Latvijā apdrošināšanas līguma noslēgšanas dienā noteikto minimālo mēneša darba algu apmērā, kas nodrošina kompetentās institūcijas kļūdas dēļ radušos zaudējumu segšanu (piemēram, apdrošināšanas polise ar atsevišķi norādītu vismaz darba aizsardzības vecākā speciālista un arodveselības un arodslimību ārsta atbildības apdrošināšanu un kvīts vai bankas maksājuma uzdevums, kas apliecina samaksu par apdrošināšanas polisi), uz ___ 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22-TA-1932</w:t>
    </w:r>
    <w:r>
      <w:br/>
    </w:r>
    <w:r w:rsidR="00000000" w:rsidRPr="00000000" w:rsidDel="00000000">
      <w:rPr>
        <w:rtl w:val="0"/>
      </w:rPr>
      <w:t xml:space="preserve">Izdrukāts 08.11.2022.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22-TA-1932</w:t>
    </w:r>
    <w:r>
      <w:br/>
    </w:r>
    <w:r w:rsidR="00000000" w:rsidRPr="00000000" w:rsidDel="00000000">
      <w:rPr>
        <w:rtl w:val="0"/>
      </w:rPr>
      <w:t xml:space="preserve">Izdrukāts 08.11.2022.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Atzinumi_22-TA-1932.docx</dc:title>
</cp:coreProperties>
</file>

<file path=docProps/custom.xml><?xml version="1.0" encoding="utf-8"?>
<Properties xmlns="http://schemas.openxmlformats.org/officeDocument/2006/custom-properties" xmlns:vt="http://schemas.openxmlformats.org/officeDocument/2006/docPropsVTypes"/>
</file>