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projektā Pilsonības un migrācijas lietu pārvaldi (turpmāk - Pārvalde) kā projekta sadarbības partneri, ņemot vērā to, ka Pārvaldei nav finanšu resursu, lai nodrošinātu nepieciešamos izstrādes darbus datu nodošanai Datu izplatīšanas un pārvaldības platformā. Informējam, ka nepieciešamā finansējuma provizoriskais apjoms ir 86 000 eiro (ar PVN) (no tiem, 2025.gadā- 57 400 eiro, 2026.gadā- 28 600 eiro). Finansējums nepieciešams pamatkapitāla veidošanai ( EKK 5000). Lūdzam šo informāciju atspoguļot arī Anotācijas 3.sadaļā "Budžets" (pie 6.2. rādītāja).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1.3.punktā pie risinājuma apraksta ir noteiks, ka ar papildus piešķiramo finansējumu tiks nodrošināta Nederīgo dokumentu reģistru pieslēgšana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Informācijas centra rīcībā esošās informācijas, DAGR projektā nav paredzēts papildus finansējums Nederīgo dokumentu reģistra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attiecīgu datu nodošanu DAGR un sasniegtu anotācijā noteiktus mērķus, ir nepieciešams DAGR attīstības projektā paredzēt papildus finansējums 44 000 euro (ar PVN) apmērā Nederīgo dokumentu reģistra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10.pantā norādīts, ka personas datu par sodāmību un pārkāpumiem apstrāde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2.pantā norādīts, ka valsts informācijas sistēmas “Sodu reģistrs” pārzinis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Iekšlietu ministrijas Informācijas centrs ar likumu ir noteikts par oficiālo iestādi Latvijas Republikā, kas veic sodāmības datu (sodāmības reģistra) apstrādi un apstrādes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Vispārīgā datu aizsardzības regula arī noteic, ka personas datus drīkst apstrādāt, ja ir tiesiskais pamats (6.pants). Informācijas centra gadījumā tiesisko pamatu nosaka normatīvie akti, kas tieši noteic Sodu reģistra datu nodošanu noteiktām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Sodu reģistra datu nodošana uz DAGR (glabāšanai) var tikt uzskatīta par Vispārīgās datu aizsardzības regulas 10.panta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projekta anotācijas svītrojama daļa attiecībā uz Sodu reģistra integrāciju ar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DAGR attīstības projekta pasē noteikt datu devēju informācijas sistēmas un to pilnveidošanai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26.08.2024.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26.08.2024.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Atzinumi_24-TA-1916.docx</dc:title>
</cp:coreProperties>
</file>

<file path=docProps/custom.xml><?xml version="1.0" encoding="utf-8"?>
<Properties xmlns="http://schemas.openxmlformats.org/officeDocument/2006/custom-properties" xmlns:vt="http://schemas.openxmlformats.org/officeDocument/2006/docPropsVTypes"/>
</file>