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tai skaitā pievienotās vērtības nodoklis, muitas nodokļi, nodevas un soda maksājumi, izņemot šo noteikumu </w:t>
            </w:r>
            <w:r w:rsidR="00000000" w:rsidRPr="00000000" w:rsidDel="00000000">
              <w:rPr>
                <w:rtl w:val="0"/>
              </w:rPr>
              <w:t xml:space="preserve">44.2.6.</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punktā</w:t>
            </w:r>
            <w:r w:rsidR="00000000" w:rsidRPr="00000000" w:rsidDel="00000000">
              <w:rPr>
                <w:rtl w:val="0"/>
              </w:rPr>
              <w:t xml:space="preserve"> minētos gadījumus. Ja šādas izmaksas ir radušās, finansējuma saņēmējs un gala labuma guvējs tās finansē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pievienotās vērtības nodokļa attiecināšanu nav piemērojami izņēmi - minētās izmaksas netiek segtas no Atveseļošanas un noturības mehānisma līdzekļiem. Lai nerastos interpretācijas iespējas, lūdzam nosacījumu par pievienotās vērtības nodokli izdalīt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veiktajiem precizējumiem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61.2.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pārliecināties, vai anotācijā ir ietverta informācija par visiem plānotajiem grozījumiem noteikumos Nr. 529.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