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Bīstamo iekārtu reģistra un tehniskās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projekta regulējumu un anotācijā sniegto skaidrojumu par to, proti, lūdzam precizēt anotācijas 1.1. sadaļā "Apraksts" un 1.3. sadaļā "Pašreizējā situācija" iekļauto informāciju, paredzot, ka projekta deleģējums ir likuma "Par bīstamo iekārtu tehnisko uzraudzību" 3. panta otrās daļas 2., 3., 4., 5., 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07.02.2025. 14.17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07.02.2025. 14.17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Atzinumi_24-TA-2182.docx</dc:title>
</cp:coreProperties>
</file>

<file path=docProps/custom.xml><?xml version="1.0" encoding="utf-8"?>
<Properties xmlns="http://schemas.openxmlformats.org/officeDocument/2006/custom-properties" xmlns:vt="http://schemas.openxmlformats.org/officeDocument/2006/docPropsVTypes"/>
</file>