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11. janvāra noteikumos Nr. 28 "Noteikumi par kārtību, kādā iesniedzami ziņojumi par plastmasu saturošiem izstrādājumiem, un kritērijiem šo izstrādājumu klasifikācijai"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Bezdūmu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ka atbilstoši </w:t>
            </w:r>
            <w:r w:rsidR="00000000" w:rsidRPr="00000000" w:rsidDel="00000000">
              <w:rPr>
                <w:i w:val="1"/>
                <w:rtl w:val="0"/>
              </w:rPr>
              <w:t xml:space="preserve">Eiropas Parlamenta un Padomes Direktīvas (ES) 2019/904 (2019. gada 5. jūnijs) par konkrētu plastmasas izstrādājumu ietekmes uz vidi samazināšanu</w:t>
            </w:r>
            <w:r w:rsidR="00000000" w:rsidRPr="00000000" w:rsidDel="00000000">
              <w:rPr>
                <w:rtl w:val="0"/>
              </w:rPr>
              <w:t xml:space="preserve"> (Direktīva) 13.panta 1.punkta prasībām ziņojums par atkritumiem, kas radušies no tabakas izstrādājumiem ar filtriem un filtriem, ko tirgo lietošanai kopā ar tabakas izstrādājumiem, pirmo reizi iesniedzams par 2023.gadu (t.i. 2024.gada maijā par 2023.gadu).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Marita Jansone (BNA)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22-TA-2246</w:t>
    </w:r>
    <w:r>
      <w:br/>
    </w:r>
    <w:r w:rsidR="00000000" w:rsidRPr="00000000" w:rsidDel="00000000">
      <w:rPr>
        <w:rtl w:val="0"/>
      </w:rPr>
      <w:t xml:space="preserve">Izdrukāts 10.11.2022. 13.20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22-TA-2246</w:t>
    </w:r>
    <w:r>
      <w:br/>
    </w:r>
    <w:r w:rsidR="00000000" w:rsidRPr="00000000" w:rsidDel="00000000">
      <w:rPr>
        <w:rtl w:val="0"/>
      </w:rPr>
      <w:t xml:space="preserve">Izdrukāts 10.11.2022. 13.20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Atzinumi_22-TA-2246.docx</dc:title>
</cp:coreProperties>
</file>

<file path=docProps/custom.xml><?xml version="1.0" encoding="utf-8"?>
<Properties xmlns="http://schemas.openxmlformats.org/officeDocument/2006/custom-properties" xmlns:vt="http://schemas.openxmlformats.org/officeDocument/2006/docPropsVTypes"/>
</file>