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0BE" w:rsidRDefault="007720BE" w:rsidP="005167B8">
      <w:r w:rsidRPr="00AF6B16">
        <w:t>2021.  gada .07.05</w:t>
      </w:r>
      <w:bookmarkStart w:id="0" w:name="_GoBack"/>
      <w:bookmarkEnd w:id="0"/>
    </w:p>
    <w:p w:rsidR="005167B8" w:rsidRDefault="005167B8" w:rsidP="005167B8">
      <w:r>
        <w:t xml:space="preserve">Beāte </w:t>
      </w:r>
      <w:proofErr w:type="spellStart"/>
      <w:r>
        <w:t>Gusārova</w:t>
      </w:r>
      <w:proofErr w:type="spellEnd"/>
      <w:r>
        <w:t xml:space="preserve"> </w:t>
      </w:r>
      <w:hyperlink r:id="rId4" w:history="1">
        <w:r>
          <w:rPr>
            <w:rStyle w:val="Hyperlink"/>
          </w:rPr>
          <w:t>Beate.Gusarova@tm.gov.lv</w:t>
        </w:r>
      </w:hyperlink>
    </w:p>
    <w:p w:rsidR="005167B8" w:rsidRDefault="005167B8" w:rsidP="005167B8">
      <w:r>
        <w:t xml:space="preserve">Aivis Hammers </w:t>
      </w:r>
      <w:hyperlink r:id="rId5" w:history="1">
        <w:r>
          <w:rPr>
            <w:rStyle w:val="Hyperlink"/>
          </w:rPr>
          <w:t>aivis.hammers@fm.gov.lv</w:t>
        </w:r>
      </w:hyperlink>
      <w:r>
        <w:t xml:space="preserve"> TM KANCELEJA </w:t>
      </w:r>
      <w:hyperlink r:id="rId6" w:history="1">
        <w:r>
          <w:rPr>
            <w:rStyle w:val="Hyperlink"/>
          </w:rPr>
          <w:t>pasts@tm.gov.lv</w:t>
        </w:r>
      </w:hyperlink>
      <w:r>
        <w:t xml:space="preserve"> Pasts </w:t>
      </w:r>
      <w:hyperlink r:id="rId7" w:history="1">
        <w:r>
          <w:rPr>
            <w:rStyle w:val="Hyperlink"/>
          </w:rPr>
          <w:t>Pasts@fm.gov.lv</w:t>
        </w:r>
      </w:hyperlink>
      <w:r>
        <w:t xml:space="preserve"> Baiba </w:t>
      </w:r>
      <w:proofErr w:type="spellStart"/>
      <w:r>
        <w:t>Lielkalne</w:t>
      </w:r>
      <w:proofErr w:type="spellEnd"/>
      <w:r>
        <w:t xml:space="preserve"> </w:t>
      </w:r>
      <w:hyperlink r:id="rId8" w:history="1">
        <w:r>
          <w:rPr>
            <w:rStyle w:val="Hyperlink"/>
          </w:rPr>
          <w:t>Baiba.Lielkalne@TM.GOV.LV</w:t>
        </w:r>
      </w:hyperlink>
      <w:r>
        <w:t xml:space="preserve"> </w:t>
      </w:r>
    </w:p>
    <w:p w:rsidR="005167B8" w:rsidRDefault="005167B8" w:rsidP="005167B8">
      <w:proofErr w:type="spellStart"/>
      <w:r>
        <w:t>Atb</w:t>
      </w:r>
      <w:proofErr w:type="spellEnd"/>
      <w:r>
        <w:t>.: "Ieguldījumu brokeru sabiedrību likums" likumprojektu pakete</w:t>
      </w:r>
    </w:p>
    <w:p w:rsidR="007E7182" w:rsidRDefault="007E7182"/>
    <w:p w:rsidR="005167B8" w:rsidRDefault="005167B8" w:rsidP="005167B8">
      <w:pPr>
        <w:rPr>
          <w:rFonts w:ascii="Calibri" w:eastAsia="Times New Roman" w:hAnsi="Calibri" w:cs="Calibri"/>
          <w:color w:val="000000"/>
        </w:rPr>
      </w:pPr>
      <w:r>
        <w:rPr>
          <w:rFonts w:eastAsia="Times New Roman"/>
          <w:color w:val="000000"/>
        </w:rPr>
        <w:t>Labdien!</w:t>
      </w:r>
    </w:p>
    <w:p w:rsidR="005167B8" w:rsidRDefault="005167B8" w:rsidP="005167B8">
      <w:pPr>
        <w:rPr>
          <w:rFonts w:ascii="Calibri" w:eastAsia="Times New Roman" w:hAnsi="Calibri" w:cs="Calibri"/>
          <w:color w:val="000000"/>
        </w:rPr>
      </w:pPr>
    </w:p>
    <w:p w:rsidR="005167B8" w:rsidRDefault="005167B8" w:rsidP="005167B8">
      <w:pPr>
        <w:pStyle w:val="NormalWeb"/>
        <w:ind w:right="13" w:firstLine="720"/>
        <w:jc w:val="both"/>
        <w:rPr>
          <w:color w:val="000000"/>
          <w:sz w:val="27"/>
          <w:szCs w:val="27"/>
        </w:rPr>
      </w:pPr>
      <w:r>
        <w:rPr>
          <w:color w:val="000000"/>
          <w:sz w:val="27"/>
          <w:szCs w:val="27"/>
        </w:rPr>
        <w:t>Tieslietu ministrija ir izskatījusi Finanšu ministrijas sagatavoto precizēto likumprojektu "Grozījumi Ieguldījumu pārvaldes sabiedrību likumā", sākotnējās ietekmes novērtējuma ziņojumu (anotācija) un tam pievienoto izziņu par atzinumā sniegtajiem iebildumiem, un atbalsta to tālāku virzību, papildus izsakot turpmāko iebildumu.  </w:t>
      </w:r>
    </w:p>
    <w:p w:rsidR="005167B8" w:rsidRDefault="005167B8" w:rsidP="005167B8">
      <w:pPr>
        <w:pStyle w:val="NormalWeb"/>
        <w:ind w:right="13" w:firstLine="720"/>
        <w:jc w:val="both"/>
        <w:rPr>
          <w:color w:val="000000"/>
          <w:sz w:val="27"/>
          <w:szCs w:val="27"/>
        </w:rPr>
      </w:pPr>
      <w:r>
        <w:rPr>
          <w:color w:val="000000"/>
          <w:sz w:val="27"/>
          <w:szCs w:val="27"/>
        </w:rPr>
        <w:t> </w:t>
      </w:r>
    </w:p>
    <w:p w:rsidR="005167B8" w:rsidRDefault="005167B8" w:rsidP="005167B8">
      <w:pPr>
        <w:pStyle w:val="NormalWeb"/>
        <w:ind w:firstLine="567"/>
        <w:jc w:val="both"/>
        <w:rPr>
          <w:color w:val="000000"/>
          <w:sz w:val="27"/>
          <w:szCs w:val="27"/>
        </w:rPr>
      </w:pPr>
      <w:r>
        <w:rPr>
          <w:color w:val="000000"/>
          <w:sz w:val="27"/>
          <w:szCs w:val="27"/>
        </w:rPr>
        <w:t>Ieguldījumu pārvaldes sabiedrību likuma 9. panta trešā daļa nosaka, ka “</w:t>
      </w:r>
      <w:r>
        <w:rPr>
          <w:i/>
          <w:iCs/>
          <w:color w:val="000000"/>
          <w:sz w:val="27"/>
          <w:szCs w:val="27"/>
        </w:rPr>
        <w:t>persona nedrīkst būt par sabiedrības padomes locekli un amatpersonu, ja: 1) tā ir notiesāta par tīša noziedzīga nodarījuma izdarīšanu; 2) tā ir bijusi notiesāta par tīša noziedzīga nodarījuma izdarīšanu (arī tad, ja persona atbrīvota no soda izciešanas sakarā ar noilgumu, apžēlošanu vai amnestiju); 3) tā ir saukta pie kriminālatbildības par tīša noziedzīga nodarījuma izdarīšanu (arī tad, ja krimināllieta pret personu izbeigta, bet persona nav reabilitēta); 4) tā ir sniegusi nepatiesas ziņas par sevi, iesniedzot Komisijai dokumentus, lai saņemtu licenci sabiedrības darbībai vai citai darbībai finanšu un kapitāla tirgū; 5) tā ir pildījusi valdes vai padomes locekļa pienākumus sabiedrībā vai citā finanšu iestādē, kas atzīta par maksātnespējīgu laikā, kad attiecīgā persona pildījusi minētos pienākumus, vai tā ir pildījusi valdes vai padomes locekļa pienākumus citā komercsabiedrībā un savas nolaidības dēļ vai tīši novedusi šo komercsabiedrību līdz kriminālsodāmai maksātnespējai vai bankrotam.” </w:t>
      </w:r>
      <w:r>
        <w:rPr>
          <w:color w:val="000000"/>
          <w:sz w:val="27"/>
          <w:szCs w:val="27"/>
        </w:rPr>
        <w:t> </w:t>
      </w:r>
    </w:p>
    <w:p w:rsidR="005167B8" w:rsidRDefault="005167B8" w:rsidP="005167B8">
      <w:pPr>
        <w:pStyle w:val="NormalWeb"/>
        <w:ind w:firstLine="567"/>
        <w:jc w:val="both"/>
        <w:rPr>
          <w:color w:val="000000"/>
          <w:sz w:val="27"/>
          <w:szCs w:val="27"/>
        </w:rPr>
      </w:pPr>
      <w:r>
        <w:rPr>
          <w:color w:val="000000"/>
          <w:sz w:val="27"/>
          <w:szCs w:val="27"/>
        </w:rPr>
        <w:t>Vēršam uzmanību, ka Satversmes tiesa ir atzinusi, ka aizliegums ieņemt noteiktus amatus un, tam esot spēkā neierobežotu laiku arī pēc sodāmības dzēšanas vai noņemšanas, ir uzskatāms par absolūtu,</w:t>
      </w:r>
      <w:r>
        <w:rPr>
          <w:color w:val="000000"/>
          <w:vertAlign w:val="superscript"/>
        </w:rPr>
        <w:t>[1]</w:t>
      </w:r>
      <w:r>
        <w:rPr>
          <w:color w:val="000000"/>
          <w:sz w:val="27"/>
          <w:szCs w:val="27"/>
        </w:rPr>
        <w:t xml:space="preserve"> un tam nepieciešams analīzē balstīts </w:t>
      </w:r>
      <w:proofErr w:type="spellStart"/>
      <w:r>
        <w:rPr>
          <w:color w:val="000000"/>
          <w:sz w:val="27"/>
          <w:szCs w:val="27"/>
        </w:rPr>
        <w:t>izvērtējums</w:t>
      </w:r>
      <w:proofErr w:type="spellEnd"/>
      <w:r>
        <w:rPr>
          <w:color w:val="000000"/>
          <w:sz w:val="27"/>
          <w:szCs w:val="27"/>
        </w:rPr>
        <w:t>, kas pamatotu konkrētā aizlieguma nepieciešamību un samērīgumu iepretim izdarītajam noziedzīgajam nodarījumam un tā rezultātā radītajām sekām. Norādām, ka, nosakot absolūto aizliegumu, likumdevējam ir jāpārliecinās par to, vai ar šo aizliegumu radītās tiesiskās sekas ir samērīgas, proti, vai absolūtais aizliegums ir vienīgais līdzeklis, kā sasniegt tā mērķi, pretējā gadījumā norma var tikt atzīta par neatbilstošu Satversmes 106. panta pirmajam teikumam. Turklāt likumdevējam ir jāņem vērā arī tas, ka personas attieksme pret pašas izdarīto noziedzīgo nodarījumu, kā arī vērtību sistēma laika gaitā var mainīties.</w:t>
      </w:r>
      <w:r>
        <w:rPr>
          <w:color w:val="000000"/>
          <w:vertAlign w:val="superscript"/>
        </w:rPr>
        <w:t>[2]</w:t>
      </w:r>
      <w:r>
        <w:rPr>
          <w:color w:val="000000"/>
          <w:sz w:val="27"/>
          <w:szCs w:val="27"/>
        </w:rPr>
        <w:t> </w:t>
      </w:r>
    </w:p>
    <w:p w:rsidR="005167B8" w:rsidRDefault="005167B8" w:rsidP="005167B8">
      <w:pPr>
        <w:pStyle w:val="NormalWeb"/>
        <w:ind w:firstLine="567"/>
        <w:jc w:val="both"/>
        <w:rPr>
          <w:color w:val="000000"/>
          <w:sz w:val="27"/>
          <w:szCs w:val="27"/>
        </w:rPr>
      </w:pPr>
      <w:r>
        <w:rPr>
          <w:color w:val="000000"/>
          <w:sz w:val="27"/>
          <w:szCs w:val="27"/>
        </w:rPr>
        <w:lastRenderedPageBreak/>
        <w:t> Ņemot vērā minēto un ievērojot Satversmes tiesas judikatūru, lūdzam likumprojektā paredzēt arī grozījumus Ieguldījumu pārvaldes sabiedrību likuma 9. panta trešajā daļā, izsakot to šādā redakcijā:  </w:t>
      </w:r>
    </w:p>
    <w:p w:rsidR="005167B8" w:rsidRDefault="005167B8" w:rsidP="005167B8">
      <w:pPr>
        <w:pStyle w:val="NormalWeb"/>
        <w:ind w:firstLine="567"/>
        <w:jc w:val="both"/>
        <w:rPr>
          <w:color w:val="000000"/>
          <w:sz w:val="27"/>
          <w:szCs w:val="27"/>
        </w:rPr>
      </w:pPr>
      <w:r>
        <w:rPr>
          <w:i/>
          <w:iCs/>
          <w:color w:val="000000"/>
          <w:sz w:val="27"/>
          <w:szCs w:val="27"/>
        </w:rPr>
        <w:t>“(3) Persona nedrīkst būt par sabiedrības padomes locekli un amatpersonu šādos gadījumos: </w:t>
      </w:r>
    </w:p>
    <w:p w:rsidR="005167B8" w:rsidRDefault="005167B8" w:rsidP="005167B8">
      <w:pPr>
        <w:pStyle w:val="NormalWeb"/>
        <w:ind w:firstLine="567"/>
        <w:jc w:val="both"/>
        <w:rPr>
          <w:color w:val="000000"/>
          <w:sz w:val="27"/>
          <w:szCs w:val="27"/>
        </w:rPr>
      </w:pPr>
      <w:r>
        <w:rPr>
          <w:i/>
          <w:iCs/>
          <w:color w:val="000000"/>
          <w:sz w:val="27"/>
          <w:szCs w:val="27"/>
        </w:rPr>
        <w:t>1) tā ir notiesāta par tīša noziedzīga nodarījuma izdarīšanu; </w:t>
      </w:r>
    </w:p>
    <w:p w:rsidR="005167B8" w:rsidRDefault="005167B8" w:rsidP="005167B8">
      <w:pPr>
        <w:pStyle w:val="NormalWeb"/>
        <w:ind w:firstLine="567"/>
        <w:jc w:val="both"/>
        <w:rPr>
          <w:color w:val="000000"/>
          <w:sz w:val="27"/>
          <w:szCs w:val="27"/>
        </w:rPr>
      </w:pPr>
      <w:r>
        <w:rPr>
          <w:i/>
          <w:iCs/>
          <w:color w:val="000000"/>
          <w:sz w:val="27"/>
          <w:szCs w:val="27"/>
        </w:rPr>
        <w:t>2) tā ir bijusi notiesāta par tīša noziedzīga nodarījuma izdarīšanu (arī tad, ja persona atbrīvota no soda izciešanas sakarā ar noilgumu, apžēlošanu vai amnestiju - kamēr nav pagājis gads pēc attiecīgā lēmuma stāšanās spēkā); </w:t>
      </w:r>
    </w:p>
    <w:p w:rsidR="005167B8" w:rsidRDefault="005167B8" w:rsidP="005167B8">
      <w:pPr>
        <w:pStyle w:val="NormalWeb"/>
        <w:ind w:firstLine="567"/>
        <w:jc w:val="both"/>
        <w:rPr>
          <w:color w:val="000000"/>
          <w:sz w:val="27"/>
          <w:szCs w:val="27"/>
        </w:rPr>
      </w:pPr>
      <w:r>
        <w:rPr>
          <w:i/>
          <w:iCs/>
          <w:color w:val="000000"/>
          <w:sz w:val="27"/>
          <w:szCs w:val="27"/>
        </w:rPr>
        <w:t>3) tā ir saukta pie kriminālatbildības par tīša noziedzīga nodarījuma izdarīšanu (arī tad, ja krimināllieta pret personu izbeigta, bet persona nav reabilitēta - kamēr nav pagājis gads pēc attiecīgā lēmuma stāšanās spēkā); </w:t>
      </w:r>
    </w:p>
    <w:p w:rsidR="005167B8" w:rsidRDefault="005167B8" w:rsidP="005167B8">
      <w:pPr>
        <w:pStyle w:val="NormalWeb"/>
        <w:ind w:firstLine="567"/>
        <w:jc w:val="both"/>
        <w:rPr>
          <w:color w:val="000000"/>
          <w:sz w:val="27"/>
          <w:szCs w:val="27"/>
        </w:rPr>
      </w:pPr>
      <w:r>
        <w:rPr>
          <w:i/>
          <w:iCs/>
          <w:color w:val="000000"/>
          <w:sz w:val="27"/>
          <w:szCs w:val="27"/>
        </w:rPr>
        <w:t>4) tā ir sniegusi nepatiesas ziņas par sevi, iesniedzot Komisijai dokumentus, lai saņemtu licenci sabiedrības darbībai vai citai darbībai finanšu un kapitāla tirgū; </w:t>
      </w:r>
    </w:p>
    <w:p w:rsidR="005167B8" w:rsidRDefault="005167B8" w:rsidP="005167B8">
      <w:pPr>
        <w:pStyle w:val="NormalWeb"/>
        <w:ind w:firstLine="567"/>
        <w:jc w:val="both"/>
        <w:rPr>
          <w:color w:val="000000"/>
          <w:sz w:val="27"/>
          <w:szCs w:val="27"/>
        </w:rPr>
      </w:pPr>
      <w:r>
        <w:rPr>
          <w:i/>
          <w:iCs/>
          <w:color w:val="000000"/>
          <w:sz w:val="27"/>
          <w:szCs w:val="27"/>
        </w:rPr>
        <w:t>5) tā ir pildījusi valdes vai padomes locekļa pienākumus sabiedrībā vai citā finanšu iestādē, kas atzīta par maksātnespējīgu laikā, kad attiecīgā persona pildījusi minētos pienākumus, vai tā ir pildījusi valdes vai padomes locekļa pienākumus citā komercsabiedrībā un savas nolaidības dēļ vai tīši novedusi šo komercsabiedrību līdz kriminālsodāmai maksātnespējai vai bankrotam.” </w:t>
      </w:r>
    </w:p>
    <w:p w:rsidR="005167B8" w:rsidRDefault="005167B8" w:rsidP="005167B8">
      <w:pPr>
        <w:pStyle w:val="NormalWeb"/>
        <w:ind w:firstLine="567"/>
        <w:jc w:val="both"/>
        <w:rPr>
          <w:color w:val="000000"/>
          <w:sz w:val="27"/>
          <w:szCs w:val="27"/>
        </w:rPr>
      </w:pPr>
      <w:r>
        <w:rPr>
          <w:color w:val="000000"/>
          <w:sz w:val="27"/>
          <w:szCs w:val="27"/>
        </w:rPr>
        <w:t> </w:t>
      </w:r>
    </w:p>
    <w:p w:rsidR="005167B8" w:rsidRDefault="005167B8" w:rsidP="005167B8">
      <w:pPr>
        <w:pStyle w:val="NormalWeb"/>
        <w:ind w:right="13" w:firstLine="567"/>
        <w:jc w:val="both"/>
        <w:rPr>
          <w:color w:val="000000"/>
          <w:sz w:val="27"/>
          <w:szCs w:val="27"/>
        </w:rPr>
      </w:pPr>
      <w:r>
        <w:rPr>
          <w:color w:val="000000"/>
          <w:sz w:val="27"/>
          <w:szCs w:val="27"/>
        </w:rPr>
        <w:t>Tomēr gadījumā, ja Ieguldījumu pārvaldes sabiedrību likumā ir plānots saglabāt absolūto aizliegumu ieņemt sabiedrības amatpersonas un padomes locekļa amatu, tad saskaņā ar Satversmes tiesas judikatūru nepieciešams izstrādāt regulējumu, kas paredz izvērtēšanas komisijas veidošanu, kura būtu tiesīga izvērtēt tāda kandidāta, kurš kādreiz ir bijis sodīts par tīša noziedzīga nodarījuma izdarīšanu, atbilstību darbam ieguldījumu pārvaldes sabiedrībā, ļaujot tam izņēmuma kārtā ieņemt sabiedrības amatpersonas un padomes locekļa amatu pie šāda absolūta aizlieguma pastāvēšanas.</w:t>
      </w:r>
      <w:r>
        <w:rPr>
          <w:color w:val="000000"/>
          <w:vertAlign w:val="superscript"/>
        </w:rPr>
        <w:t>[3]</w:t>
      </w:r>
      <w:r>
        <w:rPr>
          <w:color w:val="000000"/>
          <w:sz w:val="27"/>
          <w:szCs w:val="27"/>
        </w:rPr>
        <w:t xml:space="preserve"> Šāda kārtība ļautu izdarīt pamatotu vērtējumu tam, vai ļaut vai neļaut konkrētai personai kandidēt uz sabiedrības amatpersonas un padomes locekļa amatu ieguldījumu pārvaldes sabiedrībā, kā arī ļautu </w:t>
      </w:r>
      <w:proofErr w:type="spellStart"/>
      <w:r>
        <w:rPr>
          <w:color w:val="000000"/>
          <w:sz w:val="27"/>
          <w:szCs w:val="27"/>
        </w:rPr>
        <w:t>pamattiesību</w:t>
      </w:r>
      <w:proofErr w:type="spellEnd"/>
      <w:r>
        <w:rPr>
          <w:color w:val="000000"/>
          <w:sz w:val="27"/>
          <w:szCs w:val="27"/>
        </w:rPr>
        <w:t xml:space="preserve"> ierobežojuma leģitīmo mērķi sasniegt vismaz tādā pašā kvalitātē. </w:t>
      </w:r>
    </w:p>
    <w:p w:rsidR="005167B8" w:rsidRDefault="005167B8" w:rsidP="005167B8">
      <w:pPr>
        <w:pStyle w:val="NormalWeb"/>
        <w:ind w:right="13" w:firstLine="567"/>
        <w:jc w:val="both"/>
        <w:rPr>
          <w:color w:val="000000"/>
          <w:sz w:val="27"/>
          <w:szCs w:val="27"/>
        </w:rPr>
      </w:pPr>
      <w:r>
        <w:rPr>
          <w:color w:val="000000"/>
          <w:sz w:val="27"/>
          <w:szCs w:val="27"/>
        </w:rPr>
        <w:t> </w:t>
      </w:r>
    </w:p>
    <w:p w:rsidR="005167B8" w:rsidRDefault="005167B8" w:rsidP="005167B8">
      <w:pPr>
        <w:pStyle w:val="NormalWeb"/>
        <w:ind w:right="13" w:firstLine="567"/>
        <w:jc w:val="both"/>
        <w:rPr>
          <w:color w:val="000000"/>
          <w:sz w:val="27"/>
          <w:szCs w:val="27"/>
        </w:rPr>
      </w:pPr>
      <w:r>
        <w:rPr>
          <w:color w:val="000000"/>
          <w:sz w:val="27"/>
          <w:szCs w:val="27"/>
          <w:bdr w:val="none" w:sz="0" w:space="0" w:color="auto" w:frame="1"/>
        </w:rPr>
        <w:t>Papildus norādām, ka likumprojekta anotācijas kopsavilkumā ir norādīts, ka likumprojekts stāsies spēkā pēc tā pieņemšanas vispārējā kārtībā. Ņemot vērā to, ka likumprojektā ir noteikts, ka tas stāsies spēkā vienlaikus ar Ieguldījumu brokeru sabiedrību likumu, vēršam uzmanību, ka precizējumi par likumprojekta spēkā stāšanos ir nepieciešami arī likumprojekta anotācijā.</w:t>
      </w:r>
      <w:r>
        <w:rPr>
          <w:color w:val="000000"/>
          <w:sz w:val="27"/>
          <w:szCs w:val="27"/>
        </w:rPr>
        <w:t> </w:t>
      </w:r>
    </w:p>
    <w:p w:rsidR="005167B8" w:rsidRDefault="005167B8" w:rsidP="005167B8">
      <w:pPr>
        <w:rPr>
          <w:rFonts w:ascii="Calibri" w:eastAsia="Times New Roman" w:hAnsi="Calibri" w:cs="Calibri"/>
          <w:color w:val="000000"/>
          <w:sz w:val="24"/>
          <w:szCs w:val="24"/>
        </w:rPr>
      </w:pPr>
    </w:p>
    <w:p w:rsidR="005167B8" w:rsidRDefault="007720BE" w:rsidP="005167B8">
      <w:pPr>
        <w:rPr>
          <w:rFonts w:ascii="Calibri" w:eastAsia="Times New Roman" w:hAnsi="Calibri" w:cs="Calibri"/>
          <w:color w:val="000000"/>
        </w:rPr>
      </w:pPr>
      <w:r>
        <w:rPr>
          <w:rFonts w:ascii="Calibri" w:eastAsia="Times New Roman" w:hAnsi="Calibri" w:cs="Calibri"/>
          <w:color w:val="000000"/>
        </w:rPr>
        <w:pict>
          <v:rect id="_x0000_i1025" style="width:137.05pt;height:.6pt" o:hrpct="330" o:hrstd="t" o:hr="t" fillcolor="#a0a0a0" stroked="f"/>
        </w:pict>
      </w:r>
    </w:p>
    <w:p w:rsidR="005167B8" w:rsidRDefault="005167B8" w:rsidP="005167B8">
      <w:pPr>
        <w:pStyle w:val="NormalWeb"/>
        <w:jc w:val="both"/>
        <w:rPr>
          <w:color w:val="000000"/>
          <w:sz w:val="20"/>
          <w:szCs w:val="20"/>
        </w:rPr>
      </w:pPr>
      <w:r>
        <w:rPr>
          <w:color w:val="000000"/>
          <w:sz w:val="20"/>
          <w:szCs w:val="20"/>
          <w:vertAlign w:val="superscript"/>
        </w:rPr>
        <w:t>[1]</w:t>
      </w:r>
      <w:r>
        <w:rPr>
          <w:color w:val="000000"/>
          <w:sz w:val="20"/>
          <w:szCs w:val="20"/>
        </w:rPr>
        <w:t> Sk. Satversmes tiesas 2019. gada 5. decembra sprieduma lietā Nr. 2019-01-01 19.2. punktu. </w:t>
      </w:r>
    </w:p>
    <w:p w:rsidR="005167B8" w:rsidRDefault="005167B8" w:rsidP="005167B8">
      <w:pPr>
        <w:pStyle w:val="NormalWeb"/>
        <w:jc w:val="both"/>
        <w:rPr>
          <w:color w:val="000000"/>
          <w:sz w:val="20"/>
          <w:szCs w:val="20"/>
        </w:rPr>
      </w:pPr>
      <w:r>
        <w:rPr>
          <w:color w:val="000000"/>
          <w:sz w:val="20"/>
          <w:szCs w:val="20"/>
          <w:vertAlign w:val="superscript"/>
        </w:rPr>
        <w:lastRenderedPageBreak/>
        <w:t>[2]</w:t>
      </w:r>
      <w:r>
        <w:rPr>
          <w:color w:val="000000"/>
          <w:sz w:val="20"/>
          <w:szCs w:val="20"/>
        </w:rPr>
        <w:t> Sk. Satversmes tiesas 2020. gada 17. decembra spriedumu lietā Nr. 2020-18-01 23.2. punktu. </w:t>
      </w:r>
    </w:p>
    <w:p w:rsidR="005167B8" w:rsidRDefault="005167B8" w:rsidP="005167B8">
      <w:pPr>
        <w:pStyle w:val="NormalWeb"/>
        <w:jc w:val="both"/>
        <w:rPr>
          <w:color w:val="000000"/>
          <w:sz w:val="20"/>
          <w:szCs w:val="20"/>
        </w:rPr>
      </w:pPr>
      <w:r>
        <w:rPr>
          <w:color w:val="000000"/>
          <w:sz w:val="20"/>
          <w:szCs w:val="20"/>
          <w:vertAlign w:val="superscript"/>
        </w:rPr>
        <w:t>[3]</w:t>
      </w:r>
      <w:r>
        <w:rPr>
          <w:color w:val="000000"/>
          <w:sz w:val="20"/>
          <w:szCs w:val="20"/>
        </w:rPr>
        <w:t> Sk., piemēram, Izglītības likuma 50. panta pirmās daļas 1. punktā paredzēto izņēmumu: “</w:t>
      </w:r>
      <w:r>
        <w:rPr>
          <w:i/>
          <w:iCs/>
          <w:color w:val="000000"/>
          <w:sz w:val="20"/>
          <w:szCs w:val="20"/>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r>
        <w:rPr>
          <w:color w:val="000000"/>
          <w:sz w:val="20"/>
          <w:szCs w:val="20"/>
        </w:rPr>
        <w:t> </w:t>
      </w:r>
    </w:p>
    <w:p w:rsidR="005167B8" w:rsidRDefault="005167B8" w:rsidP="005167B8">
      <w:pPr>
        <w:rPr>
          <w:rFonts w:ascii="Calibri" w:eastAsia="Times New Roman" w:hAnsi="Calibri" w:cs="Calibri"/>
          <w:color w:val="000000"/>
          <w:sz w:val="24"/>
          <w:szCs w:val="24"/>
        </w:rPr>
      </w:pPr>
    </w:p>
    <w:p w:rsidR="005167B8" w:rsidRDefault="005167B8" w:rsidP="005167B8">
      <w:pPr>
        <w:rPr>
          <w:rFonts w:ascii="Calibri" w:eastAsia="Times New Roman" w:hAnsi="Calibri" w:cs="Calibri"/>
          <w:color w:val="000000"/>
        </w:rPr>
      </w:pPr>
    </w:p>
    <w:p w:rsidR="005167B8" w:rsidRDefault="005167B8" w:rsidP="005167B8">
      <w:pPr>
        <w:pStyle w:val="NormalWeb"/>
        <w:rPr>
          <w:rFonts w:ascii="Calibri" w:hAnsi="Calibri" w:cs="Calibri"/>
          <w:color w:val="201F1E"/>
          <w:sz w:val="22"/>
          <w:szCs w:val="22"/>
        </w:rPr>
      </w:pPr>
      <w:r>
        <w:rPr>
          <w:rFonts w:ascii="Arial" w:hAnsi="Arial" w:cs="Arial"/>
          <w:i/>
          <w:iCs/>
          <w:color w:val="201F1E"/>
          <w:sz w:val="20"/>
          <w:szCs w:val="20"/>
          <w:bdr w:val="none" w:sz="0" w:space="0" w:color="auto" w:frame="1"/>
          <w:shd w:val="clear" w:color="auto" w:fill="FFFFFF"/>
        </w:rPr>
        <w:t>Ar cieņu,</w:t>
      </w:r>
      <w:r>
        <w:rPr>
          <w:rFonts w:ascii="Tahoma" w:hAnsi="Tahoma" w:cs="Tahoma"/>
          <w:b/>
          <w:bCs/>
          <w:i/>
          <w:iCs/>
          <w:color w:val="201F1E"/>
          <w:sz w:val="20"/>
          <w:szCs w:val="20"/>
          <w:bdr w:val="none" w:sz="0" w:space="0" w:color="auto" w:frame="1"/>
        </w:rPr>
        <w:br/>
      </w:r>
      <w:r>
        <w:rPr>
          <w:rFonts w:ascii="Arial" w:hAnsi="Arial" w:cs="Arial"/>
          <w:b/>
          <w:bCs/>
          <w:i/>
          <w:iCs/>
          <w:color w:val="201F1E"/>
          <w:sz w:val="20"/>
          <w:szCs w:val="20"/>
          <w:bdr w:val="none" w:sz="0" w:space="0" w:color="auto" w:frame="1"/>
          <w:shd w:val="clear" w:color="auto" w:fill="FFFFFF"/>
        </w:rPr>
        <w:t> </w:t>
      </w:r>
      <w:r>
        <w:rPr>
          <w:rFonts w:ascii="Tahoma" w:hAnsi="Tahoma" w:cs="Tahoma"/>
          <w:b/>
          <w:bCs/>
          <w:i/>
          <w:iCs/>
          <w:color w:val="201F1E"/>
          <w:sz w:val="20"/>
          <w:szCs w:val="20"/>
          <w:bdr w:val="none" w:sz="0" w:space="0" w:color="auto" w:frame="1"/>
        </w:rPr>
        <w:br/>
      </w:r>
      <w:r>
        <w:rPr>
          <w:rFonts w:ascii="Arial" w:hAnsi="Arial" w:cs="Arial"/>
          <w:b/>
          <w:bCs/>
          <w:color w:val="201F1E"/>
          <w:sz w:val="20"/>
          <w:szCs w:val="20"/>
          <w:bdr w:val="none" w:sz="0" w:space="0" w:color="auto" w:frame="1"/>
          <w:shd w:val="clear" w:color="auto" w:fill="FFFFFF"/>
        </w:rPr>
        <w:t xml:space="preserve">Beāte </w:t>
      </w:r>
      <w:proofErr w:type="spellStart"/>
      <w:r>
        <w:rPr>
          <w:rFonts w:ascii="Arial" w:hAnsi="Arial" w:cs="Arial"/>
          <w:b/>
          <w:bCs/>
          <w:color w:val="201F1E"/>
          <w:sz w:val="20"/>
          <w:szCs w:val="20"/>
          <w:bdr w:val="none" w:sz="0" w:space="0" w:color="auto" w:frame="1"/>
          <w:shd w:val="clear" w:color="auto" w:fill="FFFFFF"/>
        </w:rPr>
        <w:t>Gusārova</w:t>
      </w:r>
      <w:proofErr w:type="spellEnd"/>
      <w:r>
        <w:rPr>
          <w:rFonts w:ascii="Tahoma" w:hAnsi="Tahoma" w:cs="Tahoma"/>
          <w:b/>
          <w:bCs/>
          <w:i/>
          <w:iCs/>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Tieslietu ministrijas</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Civiltiesību departamenta</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Komerctiesību nodaļas juriste</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Tālr. 67031734</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Atrašanās vieta: Raiņa bulvārī 15, Rīgā, LV-1050.</w:t>
      </w:r>
      <w:r>
        <w:rPr>
          <w:rFonts w:ascii="Tahoma" w:hAnsi="Tahoma" w:cs="Tahoma"/>
          <w:color w:val="201F1E"/>
          <w:sz w:val="20"/>
          <w:szCs w:val="20"/>
          <w:bdr w:val="none" w:sz="0" w:space="0" w:color="auto" w:frame="1"/>
        </w:rPr>
        <w:br/>
      </w:r>
      <w:r>
        <w:rPr>
          <w:rFonts w:ascii="Arial" w:hAnsi="Arial" w:cs="Arial"/>
          <w:color w:val="201F1E"/>
          <w:sz w:val="20"/>
          <w:szCs w:val="20"/>
          <w:bdr w:val="none" w:sz="0" w:space="0" w:color="auto" w:frame="1"/>
          <w:shd w:val="clear" w:color="auto" w:fill="FFFFFF"/>
        </w:rPr>
        <w:t>Juridiskā adrese: Brīvības bulvārī 36, Rīgā, LV-1536.</w:t>
      </w:r>
    </w:p>
    <w:p w:rsidR="005167B8" w:rsidRDefault="005167B8" w:rsidP="005167B8">
      <w:pPr>
        <w:pStyle w:val="NormalWeb"/>
        <w:rPr>
          <w:rFonts w:ascii="Calibri" w:hAnsi="Calibri" w:cs="Calibri"/>
          <w:color w:val="201F1E"/>
          <w:sz w:val="22"/>
          <w:szCs w:val="22"/>
        </w:rPr>
      </w:pPr>
      <w:r>
        <w:rPr>
          <w:rFonts w:ascii="Arial" w:hAnsi="Arial" w:cs="Arial"/>
          <w:b/>
          <w:bCs/>
          <w:i/>
          <w:iCs/>
          <w:color w:val="201F1E"/>
          <w:sz w:val="4"/>
          <w:szCs w:val="4"/>
          <w:bdr w:val="none" w:sz="0" w:space="0" w:color="auto" w:frame="1"/>
          <w:shd w:val="clear" w:color="auto" w:fill="FFFFFF"/>
        </w:rPr>
        <w:t> </w:t>
      </w:r>
    </w:p>
    <w:p w:rsidR="005167B8" w:rsidRDefault="005167B8" w:rsidP="005167B8">
      <w:pPr>
        <w:pStyle w:val="NormalWeb"/>
        <w:rPr>
          <w:rFonts w:ascii="Calibri" w:hAnsi="Calibri" w:cs="Calibri"/>
          <w:color w:val="201F1E"/>
          <w:sz w:val="22"/>
          <w:szCs w:val="22"/>
        </w:rPr>
      </w:pPr>
      <w:r>
        <w:rPr>
          <w:rFonts w:ascii="Arial" w:hAnsi="Arial" w:cs="Arial"/>
          <w:b/>
          <w:bCs/>
          <w:i/>
          <w:iCs/>
          <w:noProof/>
          <w:color w:val="002060"/>
          <w:sz w:val="20"/>
          <w:szCs w:val="20"/>
          <w:bdr w:val="none" w:sz="0" w:space="0" w:color="auto" w:frame="1"/>
        </w:rPr>
        <w:drawing>
          <wp:inline distT="0" distB="0" distL="0" distR="0">
            <wp:extent cx="1257300" cy="990600"/>
            <wp:effectExtent l="0" t="0" r="0" b="0"/>
            <wp:docPr id="1" name="Picture 1" descr="cid:5364e981-8ba9-4b97-80f0-72d54d701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5364e981-8ba9-4b97-80f0-72d54d70135e"/>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5167B8" w:rsidRDefault="005167B8"/>
    <w:sectPr w:rsidR="005167B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7B8"/>
    <w:rsid w:val="005167B8"/>
    <w:rsid w:val="007720BE"/>
    <w:rsid w:val="007E71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C0AE"/>
  <w15:chartTrackingRefBased/>
  <w15:docId w15:val="{8D3290CE-6163-447F-9446-E3BAECDA2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7B8"/>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67B8"/>
    <w:rPr>
      <w:color w:val="0563C1" w:themeColor="hyperlink"/>
      <w:u w:val="single"/>
    </w:rPr>
  </w:style>
  <w:style w:type="paragraph" w:styleId="NormalWeb">
    <w:name w:val="Normal (Web)"/>
    <w:basedOn w:val="Normal"/>
    <w:uiPriority w:val="99"/>
    <w:semiHidden/>
    <w:unhideWhenUsed/>
    <w:rsid w:val="005167B8"/>
    <w:pPr>
      <w:spacing w:after="0" w:line="240" w:lineRule="auto"/>
    </w:pPr>
    <w:rPr>
      <w:rFonts w:ascii="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054034">
      <w:bodyDiv w:val="1"/>
      <w:marLeft w:val="0"/>
      <w:marRight w:val="0"/>
      <w:marTop w:val="0"/>
      <w:marBottom w:val="0"/>
      <w:divBdr>
        <w:top w:val="none" w:sz="0" w:space="0" w:color="auto"/>
        <w:left w:val="none" w:sz="0" w:space="0" w:color="auto"/>
        <w:bottom w:val="none" w:sz="0" w:space="0" w:color="auto"/>
        <w:right w:val="none" w:sz="0" w:space="0" w:color="auto"/>
      </w:divBdr>
      <w:divsChild>
        <w:div w:id="2095710323">
          <w:marLeft w:val="0"/>
          <w:marRight w:val="0"/>
          <w:marTop w:val="0"/>
          <w:marBottom w:val="0"/>
          <w:divBdr>
            <w:top w:val="none" w:sz="0" w:space="0" w:color="auto"/>
            <w:left w:val="none" w:sz="0" w:space="0" w:color="auto"/>
            <w:bottom w:val="none" w:sz="0" w:space="0" w:color="auto"/>
            <w:right w:val="none" w:sz="0" w:space="0" w:color="auto"/>
          </w:divBdr>
        </w:div>
      </w:divsChild>
    </w:div>
    <w:div w:id="115175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iba.Lielkalne@TM.GOV.LV" TargetMode="External"/><Relationship Id="rId3" Type="http://schemas.openxmlformats.org/officeDocument/2006/relationships/webSettings" Target="webSettings.xml"/><Relationship Id="rId7" Type="http://schemas.openxmlformats.org/officeDocument/2006/relationships/hyperlink" Target="mailto:Pasts@fm.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11" Type="http://schemas.openxmlformats.org/officeDocument/2006/relationships/fontTable" Target="fontTable.xml"/><Relationship Id="rId5" Type="http://schemas.openxmlformats.org/officeDocument/2006/relationships/hyperlink" Target="mailto:aivis.hammers@fm.gov.lv" TargetMode="External"/><Relationship Id="rId10" Type="http://schemas.openxmlformats.org/officeDocument/2006/relationships/image" Target="cid:5364e981-8ba9-4b97-80f0-72d54d70135e" TargetMode="External"/><Relationship Id="rId4" Type="http://schemas.openxmlformats.org/officeDocument/2006/relationships/hyperlink" Target="mailto:Beate.Gusarova@tm.gov.lv" TargetMode="Externa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3953</Words>
  <Characters>2254</Characters>
  <Application>Microsoft Office Word</Application>
  <DocSecurity>0</DocSecurity>
  <Lines>18</Lines>
  <Paragraphs>12</Paragraphs>
  <ScaleCrop>false</ScaleCrop>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2</cp:revision>
  <dcterms:created xsi:type="dcterms:W3CDTF">2021-05-12T07:21:00Z</dcterms:created>
  <dcterms:modified xsi:type="dcterms:W3CDTF">2021-08-15T19:16:00Z</dcterms:modified>
</cp:coreProperties>
</file>