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Kiberdrošības kompetenču centra 2021.–2027. gada plānošanas perioda grantu projektu ieviešanas, vadības, uzraudzības un kontroles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Pirms projekta iesnieguma vērtēšanas tiek pārbaudīts, vai uz projekta iesniedzēju vai personu, kura ir projekta iesniedzēja valdes vai padomes loceklis vai prokūrists, vai personu, kura ir pilnvarota pārstāvēt projekta iesniedzēju ar filiāli saistītās darbībās, ir attiecināms jebkurš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ka nepieciešams pārbaudīt arī partneri un tā valdes vai padomes locekli vai prokūristu, vai personu, kura ir pilnvarota pārstāvēt projekta iesniedzēju ar filiāli saistītās darbībās, ir attiecināms jebkurš no šādiem izslēgšanas kritērijiem, ņemot vērā, ka šis noteikumu projekts pieļauj šādu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Lai veiktu šo Noteikumu </w:t>
            </w:r>
            <w:r w:rsidR="00000000" w:rsidRPr="00000000" w:rsidDel="00000000">
              <w:rPr>
                <w:rtl w:val="0"/>
              </w:rPr>
              <w:t xml:space="preserve">6.</w:t>
            </w:r>
            <w:r w:rsidR="00000000" w:rsidRPr="00000000" w:rsidDel="00000000">
              <w:rPr>
                <w:rtl w:val="0"/>
              </w:rPr>
              <w:t xml:space="preserve"> punktā minēto pārbaudi, aģentūra pieprasa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pirms šī punkta papildināt ar punktu, ka 6. punktā noteikto izslēgšanas noteikumu pārbaudi neveic tiešās vai pastarpinātās pārvaldes iestādēm, atvasinātām publiskām personām, citām valsts iestādēm (analoga pieeja tiek piemērota struktūrfondu un Atveseļošanas un noturības mehānisma atlasēs).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Papildus šo Noteikumu </w:t>
            </w:r>
            <w:r w:rsidR="00000000" w:rsidRPr="00000000" w:rsidDel="00000000">
              <w:rPr>
                <w:rtl w:val="0"/>
              </w:rPr>
              <w:t xml:space="preserve">6.</w:t>
            </w:r>
            <w:r w:rsidR="00000000" w:rsidRPr="00000000" w:rsidDel="00000000">
              <w:rPr>
                <w:rtl w:val="0"/>
              </w:rPr>
              <w:t xml:space="preserve"> punktā minētajai pārbaudei, atbilstoši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w:t>
            </w:r>
            <w:r w:rsidR="00000000" w:rsidRPr="00000000" w:rsidDel="00000000">
              <w:rPr>
                <w:rtl w:val="0"/>
              </w:rPr>
              <w:t xml:space="preserve">18. panta</w:t>
            </w:r>
            <w:r w:rsidR="00000000" w:rsidRPr="00000000" w:rsidDel="00000000">
              <w:rPr>
                <w:rtl w:val="0"/>
              </w:rPr>
              <w:t xml:space="preserve"> 2. punktā noteiktajam pirms projekta iesnieguma vērtēšanas tiek pārbaudīts, vai projekta iesnieguma iesniedzēja dalība atlasē un iesniegtais projekta iesniegums atbilst valsts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Kiberdrošības kompetenču centra 2021.—2027. gada plānošanas perioda grantu vadības likums paredz, ka pretendēt uz kopienas dalībnieku atbalstam paredzētā finansējuma saņemšanu var tikai tad, ja projekta iesnieguma iesniedzējs projekta iesnieguma iesniegšanas brīdī ir reģistrēts Nacionālā koordinācijas centra uzturētajā kopienas dalībnieku reģistrā (15.pants). Ņemot vērā to, ka atkārtota pārbaude nav veicama, jo iesniedzējs var būt tikai kopienas dalībnieks, aicinām precizēt šī punkta redakciju (attiecīgi 23.punktu un citus punktus/anotāciju, kur minēta informācija par projekta iesniedzēja pārbaudi attiecībā uz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acinām izvērtēt vai saglabājams komitejas lēmuma pieņemšanas termiņš - viens mēnesis.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iesniegumu vērtēšana atklātā atlasē tiek uzsākta nākamajā darba dienā pēc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9.</w:t>
            </w:r>
            <w:r w:rsidR="00000000" w:rsidRPr="00000000" w:rsidDel="00000000">
              <w:rPr>
                <w:rtl w:val="0"/>
              </w:rPr>
              <w:t xml:space="preserve"> punktā minēto pārbaužu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 atklātā atlasē tiek uzsākta nākamajā dienā pēc projektu iesniegumu iesniegšanas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iesniegumu vērtēšana atklātā atlasē tiek uzsākta nākamajā darba dienā pēc projektu iesniegumu iesniegšanas termiņa beigām un šo Noteikumu 6. un 9. punktā minēto pārbaužu pabeigšanas.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šo Noteikumu </w:t>
            </w:r>
            <w:r w:rsidR="00000000" w:rsidRPr="00000000" w:rsidDel="00000000">
              <w:rPr>
                <w:rtl w:val="0"/>
              </w:rPr>
              <w:t xml:space="preserve">6.</w:t>
            </w:r>
            <w:r w:rsidR="00000000" w:rsidRPr="00000000" w:rsidDel="00000000">
              <w:rPr>
                <w:rtl w:val="0"/>
              </w:rPr>
              <w:t xml:space="preserve"> punktā minētās pārbaudes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pēc projektu iesniegumu iesniegšanas termiņa beigām vērtē projektu iesniegumus saskaņā ar projektu iesniegumu vērtēšanas kritērijiem, ievērojot minēto kritēriju piemērošanas metodiku. Ja projektu iesniegumu atlase ir ierobežota, projektu iesniegumu vērtēšanas komisija projekta iesniegumu šajā punktā minētajā kārtībā var sākt vērtēt uzreiz pēc tā saņemšanas. Ņemot vērā informāciju anotācijā, ka IPIA plāno atbalstīt publiskā sektora institūcijas (valsts pārvaldes iestādes, citas valsts institūcijas un atvasinātas publiskās personas),  publiskām iestādēm izslēgšanas noteikumus var nepārbaudīt.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projekta iesnieguma iesniegšanas.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finansējuma saņēmējs ir valsts budžeta iestāde, valsts budžeta līdzfinansējumu un priekšfinansējumu (ja attiecināms) projekta īstenošanai, tostarp projekta neattiecināmo izmaksu segšanai, finansējuma saņēmējs var pieprasīt </w:t>
            </w:r>
            <w:r w:rsidR="00000000" w:rsidRPr="00000000" w:rsidDel="00000000">
              <w:rPr>
                <w:rtl w:val="0"/>
              </w:rPr>
              <w:t xml:space="preserve">Ministru kabineta 2018. gada 17. jūlija noteikumos Nr. 421 "Kārtība, kādā veic gadskārtējā valsts budžeta likumā noteiktās apropriācijas izmaiņas"</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2018. gada 17. jūlija noteikumi Nr. 421 "Kārtība, kādā veic gadskārtējā valsts budžeta likumā noteiktās apropriācijas izmaiņas" nenosaka mērķus, kādiem pārdalāms finansējums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bet tikai regulē finansējuma pārdales kārtību. Līdz ar to uzskatām, ka noteikumu projekta 33. un 34.punkts pašreizējā redakcijā ir svītrojams, to vietā norādot kārtību, kādā ir paredzēts plānot finansējumu Eiropas Kiberdrošības kompetenču centra 2021.–2027. gada plānošanas perioda grantu projektu īstenošanai, kas, iespējams, var būt atšķirīga dažādiem projektu īstenotājiem, tostarp ārvalstu finanšu palīdzības finansējums, līdzfinansējums (kas var būt valsts budžeta dotācija vai projekta īstenotāja finansējums), priekšfinansējums, avansa maksājumi,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Kārtību, kādā programmas ietvaros veic maksājumus (grantu finansējumu – ārvalstu finanšu palīdzību) finansējuma saņēmējam, izņemot gadījumu, ja finansējuma saņēmējs ir tiešās vai pastarpinātās pārvaldes iestāde, un īpašos nosacījumus maksājuma dokumentu pārbaudēm, aģentūra nosaka projekta līgumā, ņemot vērā šādus iespējamos maksājumu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budžeta iestādes veiks izdevumus no budžetā plānotā finansējuma saskaņā ar noteikumu projekta 33.punktu un uz tām neattiecas šajā punktā noteiktā kārtība, precizējams subjektu loks, kas minēts kā izņēmums, aizstājot vārdus “tiešās vai pastarpinātās pārvaldes iestāde” ar “valsts budžeta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Avansa maksājuma saņemšanai finansējuma saņēmējs atver vienu no šādiem kontiem: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pēc būtības izvērtēt, vai šo punktu iespējams svītrot. Norādām, ka Likums par budžetu un finanšu vadību 27.panta pirmā daļa jau nosaka, ka valsts budžeta līdzekļu saņemšanai (šajā gadījumā – granta finansējuma saņemšanai) budžeta finansēta institūcija, kas nav valsts budžeta iestāde, var atvērt kontu Valsts kasē. Tas neliedz izvēles iespēju avansa maksājumu saņemt arī kredītiestādes kontā. Konta esamība Valsts kasē negarantē avansa korektu un savlaicīgu izmantošanu atbilstoši projekta mērķim un uzdevumiem. Tieši pretēji, nosacītas garantijas sniegtu tikai darījuma konts kredītiestādē vai kredītiestādes garantija par avansa summu, ja tā tiktu saņemta norēķinu kontā kredītiestādē. Abi minētie varianti ir maksas pakalpojumi, un pieredze rāda, ka šādā gadījumā izvēle tiek veikta par labu kontam Valsts kasē (no finansējuma saņēmēja viedokļa – nav papildus izmaksu, jo izmaksas sedz valsts budžets). Tādēļ vēlreiz uzveram, ka paredzot šādus avansa saņemšanas nosacījumus, darījuma konts nebūs primārā izvēle, līdz ar to jāvērtē, vai šāda opcija ir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tiks noteikti specifiski avansa saņemšanas nosacījumi šajā noteikumu projektā, lūdzam plašāk skaidrot šo normu anotācijā, tajā skaitā uzsverot, ka izvēloties saņemt avansa maksājumu kontā Valsts kasē, citus maksājumus (stapmaksājumu un noslēguma maksājumu) šajā kontā nedrīkstēs saņemt, jo konts ir paredzēts izdevumu veikšanai, nevis līdzekļu transferēšanai uz kredītiestādes kontu (par jau veiktiem izdevumiem). Šajā kontā arī nedrīkstēs skaitīt finansējuma saņēmēja līdzfinansējumu, ja šādu prasību nenosaka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uzraudzību aģentūra  īsteno, veicot projekta pārskatu (dokumentārās) pārbaudes un pārbaudes projektu īstenošanas vietās. Aģentūra var veikt pārbaudes projekta īstenošanas vietā, par to iepriekš nebrīdinot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kādos gadījumos Centrālā finanšu un līgumu aģentūra var veikt pārbaudes par tām nebrīdinot finansējuma saņēmēju. Papildus lūdzu skaidrot vai finansējuma saņēmējs tiek brīdināts par pārbaudēm, kāda ir plānotā paziņošanas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Par konstatētajām neatbilstībām Nacionālais koordinācijas centrs informē revīzijas iestādi programmas noteikumos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kārtību, kā NKC informē revīzijas iestādi par konstatētajām neatbilstībām noteikt šajos noteikumos nevis programmas noteikumos un nemainīt to individuālās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programmas noteikumu projektā "Mazo un vidējo saimnieciskās darbības veicēju kiberdrošības transformācija" minētā kārtība arī nav atrunāta.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noteikumu projekts ir vispārīgs, un attiecībā uz valsts budžeta iestādēm ir plānots izstrādāt citu noteikumu projektu (līdzīgi kā šobrīd tiek virzīts TA-1471 attiecībā uz maziem un vidējiem saimnieciskās darbības veicējiem), lūdzam precizēt anotācijas 3.sadaļā punkta “Cita informācija” otrajā rindkopā sniegto informāciju, norādot, ka finansējumu projektu īstenošanai no valsts budžeta finansētas iestādes varēs pieprasīt tad, kad no Eiropas Savienības puses tiks piedāvāta konkrēta grantu programma publiskajam sektoram un tiks izstrādāti atsevišķi Ministru kabineta noteikumi, vienlaikus svītrojot trešo rindkopu, jo noteikumu projekts neparedz finansējuma piešķiršanu Nacionālajam koordinācijas centram un Aģentūrai kā projektu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Kiberdrošības kompetenču centra 2021.–2027. gada plānošanas perioda grantu projektu ieviešanas, vadības, uzraudzības un kontroles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kārtību, kādā tiek plānots finansējums  grantu projektu maksājumiem.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papildināt noteikumu projektu ar kārtību, kādā tiek sagatavots un iesniegts maksājuma pieteikums.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Germa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gadījumus, kad aģentūra ir tiesīga apturēt maksājumus finansējuma saņēmējam, kā arī maksājumu apturēšanas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1.6.apakšpunktā vārdu "aģentūra" ar vārdiem "Centrālā finanšu un līgumu aģentūra (turpmāk - aģentūra)". Savukārt noteikumu projekta 3.punktā aizstāt vārdus "Centrālā finanšu un līgumu aģentūra (turpmāk – aģentūra)" ar vārdu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Atlases sagatavošana un izsludināšana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jo saturs ir tikai par atlases nolikumu, ne pašu sagatavošanas/skaņošanas procesu un izsludināšanu.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Papildus šo Noteikumu </w:t>
            </w:r>
            <w:r w:rsidR="00000000" w:rsidRPr="00000000" w:rsidDel="00000000">
              <w:rPr>
                <w:rtl w:val="0"/>
              </w:rPr>
              <w:t xml:space="preserve">6.</w:t>
            </w:r>
            <w:r w:rsidR="00000000" w:rsidRPr="00000000" w:rsidDel="00000000">
              <w:rPr>
                <w:rtl w:val="0"/>
              </w:rPr>
              <w:t xml:space="preserve"> punktā minētajai pārbaudei, atbilstoši </w:t>
            </w:r>
            <w:r w:rsidR="00000000" w:rsidRPr="00000000" w:rsidDel="00000000">
              <w:rPr>
                <w:rtl w:val="0"/>
              </w:rPr>
              <w:t xml:space="preserve">Eiropas Kiberdrošības kompetenču centra 2021.—2027. gada plānošanas perioda grantu vadības likuma</w:t>
            </w:r>
            <w:r w:rsidR="00000000" w:rsidRPr="00000000" w:rsidDel="00000000">
              <w:rPr>
                <w:rtl w:val="0"/>
              </w:rPr>
              <w:t xml:space="preserve"> </w:t>
            </w:r>
            <w:r w:rsidR="00000000" w:rsidRPr="00000000" w:rsidDel="00000000">
              <w:rPr>
                <w:rtl w:val="0"/>
              </w:rPr>
              <w:t xml:space="preserve">18. panta</w:t>
            </w:r>
            <w:r w:rsidR="00000000" w:rsidRPr="00000000" w:rsidDel="00000000">
              <w:rPr>
                <w:rtl w:val="0"/>
              </w:rPr>
              <w:t xml:space="preserve"> 2. punktā noteiktajam pirms projekta iesnieguma vērtēšanas tiek pārbaudīts, vai projekta iesnieguma iesniedzēja dalība atlasē un iesniegtais projekta iesniegums atbilst valsts drošības interesēm.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Kiberdrošības kompetenču centra 2021.—2027. gada plānošanas perioda grantu vadības likums paredz, ka pretendēt uz kopienas dalībnieku atbalstam paredzētā finansējuma saņemšanu var tikai tad, ja projekta iesnieguma iesniedzējs projekta iesnieguma iesniegšanas brīdī ir reģistrēts Nacionālā koordinācijas centra uzturētajā kopienas dalībnieku reģistrā (15.pants). Ņemot vērā to, ka atkārtota pārbaude nav veicama, jo iesniedzējs var būt tikai kopienas dalībnieks, aicinām precizēt šī punkta redakciju (attiecīgi 23.punktu un citus punktus/anotāciju, kur minēta informācija par projekta iesniedzēja pārbaudi attiecībā uz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acinām izvērtēt vai saglabājams komitejas lēmuma pieņemšanas termiņš - viens mēnesis.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Eberhards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šo Noteikumu </w:t>
            </w:r>
            <w:r w:rsidR="00000000" w:rsidRPr="00000000" w:rsidDel="00000000">
              <w:rPr>
                <w:rtl w:val="0"/>
              </w:rPr>
              <w:t xml:space="preserve">6.</w:t>
            </w:r>
            <w:r w:rsidR="00000000" w:rsidRPr="00000000" w:rsidDel="00000000">
              <w:rPr>
                <w:rtl w:val="0"/>
              </w:rPr>
              <w:t xml:space="preserve"> punktā minētās pārbaudes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pēc projektu iesniegumu iesniegšanas termiņa beigām vērtē projektu iesniegumus saskaņā ar projektu iesniegumu vērtēšanas kritērijiem, ievērojot minēto kritēriju piemērošanas metodiku. Ja projektu iesniegumu atlase ir ierobežota, projektu iesniegumu vērtēšanas komisija projekta iesniegumu šajā punktā minētajā kārtībā var sākt vērtēt uzreiz pēc tā saņemšanas. Ņemot vērā informāciju anotācijā, ka IPIA plāno atbalstīt publiskā sektora institūcijas (valsts pārvaldes iestādes, citas valsts institūcijas un atvasinātas publiskās personas),  publiskām iestādēm izslēgšanas noteikumus var nepārbaudīt.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Projektu iesniegumu vērtēšana ierobežotā atlasē tiek uzsākta nākamajā darba dienā pēc projekta iesnieguma iesniegšanas.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Armands Eberhards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Komiteja, pēc izvērtējuma veikšanas, informē aģentūru par lēmumiem, kas saistīti ar projektu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20.punktu ar atsauci uz noteikumu projekta 9.punktu, lai varētu identificēt kāds izvērtējums tiek veikts.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ir atbildīgs par līdzekļu efektīvu un ekonomisku izlietošanu atbilstoši ārējiem normatīvajiem aktiem, programmas noteikumiem un noslēgtajam projekta līgumam. Finansējuma saņēmējam ir projekta īstenošanai nepieciešamais līdzfinansējums.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30. un 31. punktu pārnest uz noteikumu sadaļu par pārbaudēm, jo attiecas uz maksājuma pieprasījumu un tā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Germa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Atbilstoši projekta līguma nosacījumiem finansējuma saņēmējs pirms starpmaksājuma saņemšanas un pēc projekta īstenošanas aģentūrai iesniedz maksājuma pieprasījumu, kurā iekļauta: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punkta saturs neatbilst sadaļas nosaukumam “V. Lēmuma pieņemšana par grantu piešķiršanu, projekta līguma noslēgšanu un atlases pabeigšanu”, tādēļ lūdzam izvērtēt šī punkta nosacījumu iekļaušanu sadaļā "VII. Maksājumu kārtība", jo tajā noteikta kārtība maksājuma pieprasījuma iesniegšanai un tam pievienojamai informācijai un dokumentiem, no kā tālāk secīgi izriet maksājumu veikšana pēc atbilstošu pārbaužu veikšanas.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papildu informācija vai dokumenti, ja aģentūra, izvērtējot iesniegto projekta pārskatu, konstatē, ka tie ir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salāgot terminoloģiju ar 31.punktu, kur lietots "maksājuma pieprasījums".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papildu informācija vai dokumenti, ja aģentūra, izvērtējot iesniegto maksājuma pieprasījumu, konstatē, ka tie ir nepieciešami.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grantu finansējuma (ārvalstu finanšu palīdzības) un valsts budžeta finansējuma izmaksas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pārskatāmības nolūkā sniedzam priekšlikumu anotācijā skaidrot, ka grantu finansējumu veido ārvalstu finanšu palīdzība, savukārt visā noteikumu projektā lietot apzīmējumu “grantu finansējums” (pašreiz tiek lietots kopā ar iekavām vai caur doma zīmi dažādos veidos ar vārdu salikumu “ārvalstu finanšu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kas domāts ar "valsts budžeta finansējuma izmaksas kārtību", jo no pārējā noteikumu projekta redakcijām izriet, ka valsts budžeta līdzfinansējums un priekšfinansējums attiecas tikai uz valsts budžeta iestādēm, līdz ar to tas netiek "izmaksāts", bet gan piešķirts apropriācijas kārtībā atbilstoši normatīvajiem aktiem asignējumu piešķiršanas un izpildes jomā, savukārt citiem finansējuma saņēmējiem finansējumu veido tikai grantu finansējums (jo pārējo jāsedz pašiem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noteikumus par saistību tiesību pastiprinājumiem un sankcijām;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svītrot 32.10. apakšpunktu, vai nenoteikt kā obligātu līgumā ar finansējuma saņēmēju, jo saistību tiesību pastiprinājumi, ņemot vērā projekta finansēšanas kārtību ( piemēram, darījuma konts avansa saņemšanai) ir pietiekami.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Germa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finansējuma saņēmējs ir valsts budžeta iestāde, valsts budžeta līdzfinansējumu un priekšfinansējumu (ja attiecināms) projekta īstenošanai, tostarp projekta neattiecināmo izmaksu segšanai, finansējuma saņēmējs var pieprasīt </w:t>
            </w:r>
            <w:r w:rsidR="00000000" w:rsidRPr="00000000" w:rsidDel="00000000">
              <w:rPr>
                <w:rtl w:val="0"/>
              </w:rPr>
              <w:t xml:space="preserve">Ministru kabineta 2018. gada 17. jūlija noteikumos Nr. 421 "Kārtība, kādā veic gadskārtējā valsts budžeta likumā noteiktās apropriācijas izmaiņas"</w:t>
            </w:r>
            <w:r w:rsidR="00000000" w:rsidRPr="00000000" w:rsidDel="00000000">
              <w:rPr>
                <w:rtl w:val="0"/>
              </w:rPr>
              <w:t xml:space="preserve">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atsauce uz normatīvo regulējumu nav jānosaka vispārīgāk - aptverot vairākus normatīvos aktus, kas nosaka budžeta plānošanas nosacījumus. Piemēram, ka nozares ministrija par finansējuma saņēmējiem, kas ir valsts budžeta iestādes, sagatavo valsts budžeta līdzekļu pieprasījumu saskaņā ar normatīvajiem aktiem valsts budžeta plānošanas jomā (jo finansējums budžetā plānojams ne tikai kārtējā gada ietvaros (apropriācijas izmaiņas), bet arī nākamiem saimnieciskajiem gadiem atbilstoši kārtībai, kādā nosakāms maksimāli pieļaujamais valsts budžeta izdevumu kopapjoms un maksimāli pieļaujamais valsts budžeta izdevumu kopējais apjoms katrai ministrijai un citām centrālajām valsts iestādēm vidējam termiņam).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nodaļas nosaukumu ar vārdu "veikšanas" aiz vārda "Maksājumu".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uztveramībai pārskatīt un secīgi sakārtot noteikuma punktus šajā sadaļā pēc veicamām darbībām, piemēram, sākumā noteikt maksājumu pieprasījumu iesniegšanas, pieņemšanas, pārbaudes kārtību, pēc tam secīgi minot, kādi maksājumu veidi izriet no atbilstošiem apstiprinātiem maksājumu pieprasījumiem (aprakstot atsevišķi nosacījumus avansa, starpmaksājuma un noslēguma maksājuma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starpmaksājums;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noteikumus projekta 35.2. un 35.3.apakšpunkts paredz arī starpmaksājumus un noslēguma maksājumu, lūdzam papildināt noteikumu projektu ar to veikšanas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Grantu finansējumu – ārvalstu finanšu palīdzību piešķir tikai projekta attiecināmo izmaksu segšanai. Projekta attiecināmo izmaksu atlikušo daļu, kā arī projekta neattiecināmās izmaksas sedz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36.punktā ir domāts ar "projekta attiecināmo izmaksu atlikušo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Aģentūra, veicot avansa maksājumus, ievēro nosacījumu, ka to kopsumma nedrīkst pārsniegt 80 % no projektam piešķirtā finansējuma, ja vien programmas noteikumos nav noteikts citādāk.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paredzēti arī starpmaksājumi un noslēguma maksājums, aicinām izvērtēt un, ja attiecināms, noteikto avansa maksājumu kopsummas apmēru, paredzot procentuālo maksājumu arī starpmaksājumiem un noslēguma maksājumiem, lai veidotos kopsumma 100%.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Avansa maksājumus un starpmaksājumus finansējuma saņēmējam veic, pamatojoties uz aģentūras maksājuma pieprasījuma pārbaudi, apstiprinātajiem attiecināmajiem izdevumiem un sagatavoto maksājuma rīkojumu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noteikumu projekta 31.punktu maksājuma pieprasījumu finansējuma saņēmējs iesniedz arī pēc projekta īstenošanas, lūdzam izvērtēt, vai šis punkts nav papildināms ar atsauci uz šo noteikumu 35.3.apakšpunktā minēto maksājuma veidu (var papildināt arī ar atsevišķu punktu), jo nevienā citā punktā nav noteikta noslēguma maksājuma pēc projekta īstenošanas pabeigšanas veikšanas kārtība. Vienlaikus lūdzam papildināt aiz vārda “aģentūras” ar vārdu “veikto”, lai nebūtu pārprotama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Avansa maksājumus un starpmaksājumus finansējuma saņēmējam veic, pamatojoties uz aģentūras maksājuma pieprasījuma pārbaudi, apstiprinātajiem attiecināmajiem izdevumiem un sagatavoto maksājuma rīkojumu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attiecinot arī uz noslēguma maksājuma pieprasījumu un apvienot ar 40.punktu, jo tie daļēji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maksājuma pieprasījumā iekļauj informāciju par faktiski veiktiem projekta izdevumiem un īstenošanas progresu.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38. un 39.punkta izriet, ka arī avansa maksājumus aģentūra veic pamatojoties uz finansējuma saņēmēja maksājuma pieprasījumu, kurā iekļauj informāciju par faktiski veiktiem projekta izdevumiem. Tātad finansējuma saņēmējam ir jānodrošina priekšfinansējums no saviem resursiem, lai saņemtu avansa maksājumu. Lūdzam izvērtēt, vai tas nav pretrunā ar avansa būtību (avanss ir priekšfinansējums nevis atmaksa par faktiski veiktiem izdevumiem), un ja nepieciešams, precizēt 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Aģentūra pieņem maksājuma pieprasījumus, pārbauda tos, apstiprina un atmaksā attiecināmos izdevumus finansējuma saņēmējam līgumā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punktu papildināt ar termiņu kādā aģentūra pārbauda maksājuma pieprasījumus, nosakot termiņu 80 dienas, pielīdzinot ES fondu projektu uzraudzības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Germa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Aģentūra pieņem maksājuma pieprasījumus, pārbauda tos, apstiprina un atmaksā attiecināmos izdevumus finansējuma saņēmējam līgumā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"Aģentūra pieņem maksājuma pieprasījumus, pārbauda tos, apstiprina un atmaksā attiecināmos izdevumus finansējuma saņēmējam līgumā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pieņem maksājuma pieprasījumus, pārbauda tos, apstiprina un atmaksā attiecināmos izdevumus finansējuma saņēmējam  </w:t>
            </w:r>
            <w:r w:rsidR="00000000" w:rsidRPr="00000000" w:rsidDel="00000000">
              <w:rPr>
                <w:u w:val="single"/>
                <w:rtl w:val="0"/>
              </w:rPr>
              <w:t xml:space="preserve">projekta</w:t>
            </w:r>
            <w:r w:rsidR="00000000" w:rsidRPr="00000000" w:rsidDel="00000000">
              <w:rPr>
                <w:rtl w:val="0"/>
              </w:rPr>
              <w:t xml:space="preserve"> līgumā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Aģentūra pieņem maksājuma pieprasījumus, pārbauda tos, apstiprina un atmaksā attiecināmos izdevumus finansējuma saņēmējam līgumā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daļēji nedublē noteikumu projekta 38.punktā noteikto (iespējams, var apvienot), jo abi punkti nosaka aģentūras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Ja finansējuma saņēmējs nevar izlietot avansa maksājumu projekta mērķa īstenošanai noteiktajā termiņā, tas līgumā noteiktajā termiņā informē aģentūru.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termiņu kādā izlietojams piešķirtais avansa maksājums, nosakot to 6 mēneši, ja programma noteikumi neparedz savādāk.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Germa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Projekta īstenošanas uzraudzību aģentūra  īsteno, veicot projekta pārskatu (dokumentārās) pārbaudes un pārbaudes projektu īstenošanas vietās. Aģentūra var veikt pārbaudes projekta īstenošanas vietā, par to iepriekš nebrīdinot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salāgot terminoloģiju, precizējot  "projekta pārskatu" uz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Pamatojoties uz pārbaudē iegūto informāciju, aģentūra pieņem lēmumu par projektā veikto izmaksu attiecināmību un maksājumiem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aizstāt noteikumu projekta 53.punktā vārdu "maksājumiem" ar vārdiem "maksājumu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Pēc projekta līgumā noteikto pārskatu saņemšanas aģentūra projekta līgumā noteiktajā termiņā izvērtē saņemtajos pārskatos ietvertās informācijas atbilstību izvirzītajiem mērķiem un sasniegtajiem rezultātiem, kā arī projekta izmaksu attiecināmību.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salāgot terminoloģiju un "projekta pārskatu" precizēt uz "maksājuma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Ja nepieciešams veikt papildu pārbaudes vai precizējumus vai saņemt papildu informāciju, aģentūra var pieprasīt finansējuma saņēmējam iesniegt papildu informāciju. Finansējuma saņēmējam pieprasītā informācija jāiesniedz piecu darba dienu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Lūdzam precizēt normu tā, lai būt skaidri norādīta rīcība par papildus pārbaudēm, precizējumiem un papildus informāciju. Šobrīd redakcija paredz rīcību, ja iztrūkts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finansējuma saņēmējs pārskatu nav iesniedzis projekta līgumā noteiktajā termiņā vai šajā termiņā nav iesniedzis pamatotu un pietiekamu rakstisku skaidrojumu par iemesliem, kāpēc nav pildītas saistības atbilstoši projekta līgumam, aģentūra var izbeigt projekta līgumu un var prasīt atmaksāt jau izmaksāto grantu finansējumu - ārvalstu finanšu palīdzību.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visā dokumentā salāgot terminoloģiju un "projekta pārskatu" precizēt uz "maksājuma pieprasījumu".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nav iespējams atbilstoši šo noteikumu </w:t>
            </w:r>
            <w:r w:rsidR="00000000" w:rsidRPr="00000000" w:rsidDel="00000000">
              <w:rPr>
                <w:rtl w:val="0"/>
              </w:rPr>
              <w:t xml:space="preserve">59.</w:t>
            </w:r>
            <w:r w:rsidR="00000000" w:rsidRPr="00000000" w:rsidDel="00000000">
              <w:rPr>
                <w:rtl w:val="0"/>
              </w:rPr>
              <w:t xml:space="preserve"> punktam atgūt neatbilstoši izlietoto grantu finansējumu – ārvalstu finanšu palīdzību, aģentūra izdod administratīvo aktu par neatbilstoši izlietotā grantu finansējuma – ārvalstu finanšu palīdzības atgūšanu, kurā norāda neatbilstoši izlietotā grantu finansējuma – ārvalstu finanšu palīdzības atmaksas termiņu, kas nedrīkst būt īsāks par 20 dienām no administratīvā akta spēkā stāšanās dienas. Šī administratīvā akta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EKKC likums paredz strīdu risināšanu civiltiesiskā kārtībā, līdz ar to nav loģikas aģentūrai izdot administratīvo aktu par neatbilstoši izlietotu grantu finansējumu. Visi lēmumu būtu jānoformē civiltiesiskā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Ja nav iespējams atbilstoši šo noteikumu </w:t>
            </w:r>
            <w:r w:rsidR="00000000" w:rsidRPr="00000000" w:rsidDel="00000000">
              <w:rPr>
                <w:rtl w:val="0"/>
              </w:rPr>
              <w:t xml:space="preserve">59.</w:t>
            </w:r>
            <w:r w:rsidR="00000000" w:rsidRPr="00000000" w:rsidDel="00000000">
              <w:rPr>
                <w:rtl w:val="0"/>
              </w:rPr>
              <w:t xml:space="preserve"> punktam atgūt neatbilstoši izlietoto grantu finansējumu – ārvalstu finanšu palīdzību, aģentūra izdod administratīvo aktu par neatbilstoši izlietotā grantu finansējuma – ārvalstu finanšu palīdzības atgūšanu, kurā norāda neatbilstoši izlietotā grantu finansējuma – ārvalstu finanšu palīdzības atmaksas termiņu, kas nedrīkst būt īsāks par 20 dienām no administratīvā akta spēkā stāšanās dienas. Šī administratīvā akta pārsūdzēšana neaptur tā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kā finansējuma saņēmēju arī valsts budzēta iestādes, lūdzu papildināt noteikumu projektu ar kārtību kādā noraksta neatbilstoši veiktos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Germa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aģentūra konstatē, ka finansējuma saņēmējs grantu finansējumu – ārvalstu finanšu palīdzību, valsts budžeta līdzfinansējumu, priekšfinansējumu nav izlietojis pilnā apmērā vai ir izlietojis neatbilstoši ārējos normatīvajos aktos, šajos Noteikumos, programmas noteikumos vai projekta līgumā noteiktajam, aģentūra pieprasa finansējuma saņēmējam atmaksāt neizlietoto, neatbilstoši vai nepamatoti izlietoto grantu finansējumu – ārvalstu finanšu palīdzību, valsts budžeta līdzfinansējumu, priekšfinansējumu projekta līgumā un normatīvajos aktos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normu par neizlietoto, neatbilstoši vai nepamatoti izlietoto valsts budžeta līdzfinansējuma un priekšfinansējuma atmaksu valsts budžeta iestādēm, jo valsts budžeta iestādēm nav citu resursu, no kā atmaksāt neatbilstoši vai nepamatoti izlietoto finansējumu, savukārt attiecībā uz neizlietoto finansējumu, tā kā valsts budžeta iestādēm resursus izdevumu segšanai veido dotācija no vispārējiem ieņēmumiem, atbilstoši Ministru kabineta 2010.gada 28.decembra noteikumiem Nr.1220 “Asignējumu piešķiršanas un izpildes kārtība” gada beigās valsts budžeta izdevumu kontos automātiski slēdzas visi neizmantotie budžeta asignējumi neizlietotās dotācijas apmērā. Minētais attiecas uz šo un nākamajiem noteikumu punktiem šajā sadaļā. Lūdzam anotāciju papildināt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Popova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sadaļā 1.2.Mērķis “Mērķa apraksts” atšifrēt “ECCC”, attiecīgi sadaļā 1.3.Pašreizējā situācija, problēmas un risinājumi “Pašreizējā situācija” lietot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1.2.Mērķis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nodrošināt efektīvu, pārskatāmu un pareizas finanšu pārvaldības principiem atbilstošu Eiropas Kiberdrošības kompetenču centra (turpmāk – ECCC )  2021.—2027. gada plānošanas perioda grantu (turpmāk - granti)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1.3.Pašreizējā situācija, problēmas un risinājumi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stājās spēkā Eiropas Parlamenta un Padomes 2021. gada 20. maija Regula (ES) 2021/887, ar ko izveido Eiropas Industriālo, tehnoloģisko un pētniecisko kiberdrošības kompetenču centru un Nacionālo koordinācijas centru tīklu (turpmāk – Regula 2021/887), ar kuru tika izveidots ECCC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1.3.Lēmuma pieņemšana par grantu piešķiršanu un projekta līguma noslēgšanu "Lēmuma pieņemšana par grantu piešķiršanu un projekta līguma noslēgšanu" minēts: "Noteikumu projekts nosaka iesniedzamo dokumentu un atskaišu sarakstu un termiņi to iesniegšanai". Vēršam uzmanību, ka šobrīd esošajā noteikumu redakcijā nav skaidri nodefinēta atskaišu (maksājuma pieprasījumu) un izdevumus pamatojošo dokumentu iesniegšanas kārtība, t.sk. biežums, termiņi. Aicinām izvērtēt un papildināt noteikumu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“Pašreizējā situācija” minēts, ka “Ņemot vērā lietderības apsvērumus, Grantu vadības likuma 9. panta 4., 5. un 8. punktā minētie noteikumi tiks izstrādāti un virzīti izskatīšanai Ministru kabinetā atsevišķi no šo Noteikumu projekta”. Aicinām izvērtēt, vai jādzēš 8.punkts, ņemot vērā, ka Noteikuma projekta II. sadaļā Atlases sagatavošana un izsludināšana runā gan par ierobežotu, gan atklātu projektu atlasēm.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Dana Kazia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w:t>
            </w:r>
            <w:r w:rsidR="00000000" w:rsidRPr="00000000" w:rsidDel="00000000">
              <w:rPr>
                <w:b w:val="1"/>
                <w:rtl w:val="0"/>
              </w:rPr>
              <w:t xml:space="preserve">Lēmuma pieņemšana par grantu piešķiršanu un projekta līguma noslēgšanu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teikumu "</w:t>
            </w:r>
            <w:r w:rsidR="00000000" w:rsidRPr="00000000" w:rsidDel="00000000">
              <w:rPr>
                <w:i w:val="1"/>
                <w:rtl w:val="0"/>
              </w:rPr>
              <w:t xml:space="preserve">Paredzēts, ka tiks apstiprināti tie projektu iesniegumi, uz kuriem nav attiecināmi atlases nolikumā noteiktie izslēgšanas kritēriji</w:t>
            </w:r>
            <w:r w:rsidR="00000000" w:rsidRPr="00000000" w:rsidDel="00000000">
              <w:rPr>
                <w:rtl w:val="0"/>
              </w:rPr>
              <w:t xml:space="preserve">" vai nu papildināt ar "un kuri būs atbilstoši pārējiem vērtēšanas kritērijiem un kuriem būs pieejams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Teikumu "</w:t>
            </w:r>
            <w:r w:rsidR="00000000" w:rsidRPr="00000000" w:rsidDel="00000000">
              <w:rPr>
                <w:i w:val="1"/>
                <w:rtl w:val="0"/>
              </w:rPr>
              <w:t xml:space="preserve">Gadījumā, ja līgums netiks noslēgts, aģentūra noslēgs līgumu ar nākamā augstāk novērtētā projekta iesnieguma iesniedzēju, ja vien uz viņu neattiecas izslēgšanas kritēriji"</w:t>
            </w:r>
            <w:r w:rsidR="00000000" w:rsidRPr="00000000" w:rsidDel="00000000">
              <w:rPr>
                <w:rtl w:val="0"/>
              </w:rPr>
              <w:t xml:space="preserve"> norādīt šādā redakcijā "Gadījumā, ja līgums netiks noslēgts, aģentūra noslēgs līgumu ar nākamā augstāk novērtētā,</w:t>
            </w:r>
            <w:r w:rsidR="00000000" w:rsidRPr="00000000" w:rsidDel="00000000">
              <w:rPr>
                <w:b w:val="1"/>
                <w:rtl w:val="0"/>
              </w:rPr>
              <w:t xml:space="preserve"> kritērijiem atbilstošā</w:t>
            </w:r>
            <w:r w:rsidR="00000000" w:rsidRPr="00000000" w:rsidDel="00000000">
              <w:rPr>
                <w:rtl w:val="0"/>
              </w:rPr>
              <w:t xml:space="preserve"> projekta iesnieguma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w:t>
            </w:r>
            <w:r w:rsidR="00000000" w:rsidRPr="00000000" w:rsidDel="00000000">
              <w:rPr>
                <w:b w:val="1"/>
                <w:rtl w:val="0"/>
              </w:rPr>
              <w:t xml:space="preserve">Atlases sagatavošana un izsludināšana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nenorādīt konkrēti tīmekļvietni www.esfondi.lv, jo vēl nepieciešams precizēt, vai un kā EKKC programmas tajā integrējamas.Kā arī informāciju un nolikumu jāpublicē ne tikai atklātā, bet arī ierobežotā atlasē. Attiecīgi piedāvājam vispārīgi norādīt, ka "informāciju par projektu atlasi, tajā skaitā atlases nolikumu, aģentūra publicēs ne vēlāk kā atlases izsludināšanas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teikumu aicinām precizēt- </w:t>
            </w:r>
            <w:r w:rsidR="00000000" w:rsidRPr="00000000" w:rsidDel="00000000">
              <w:rPr>
                <w:i w:val="1"/>
                <w:rtl w:val="0"/>
              </w:rPr>
              <w:t xml:space="preserve">Projektu iesniegumu atlase tiek izsludināta paziņojuma publicēšanas dienā.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šajos noteikumos atrunāt, kas un kā izstrādā un apstiprina kritērijus, t. sk. nodrošina kopienas dalībnieku, aģentūras un citu pušu (ja attiecināms) iesaisti. Aicinām kārtību noteikt horizontālajos noteikumos un to nemainīt katrā plānotajā atlasē, vienlaikus kritēriju saturu, protams, nosakot konkrētajā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projektā "Mazo un vidējo saimnieciskās darbības veicēju kiberdrošības transformācija" paredzēts, ka kritērijus apstiprina NKC, nevis tie ir iekļauti noteikumos un MK apstiprināmi.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Sporāne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01.08.2023. 22.51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01.08.2023. 22.51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Atzinumi_22-TA-3620.docx</dc:title>
</cp:coreProperties>
</file>

<file path=docProps/custom.xml><?xml version="1.0" encoding="utf-8"?>
<Properties xmlns="http://schemas.openxmlformats.org/officeDocument/2006/custom-properties" xmlns:vt="http://schemas.openxmlformats.org/officeDocument/2006/docPropsVTypes"/>
</file>