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Projektā iekļauj atbalstāmās darbības, kas ietver investīcijas infrastruktūras izveidei un (vai) atjaunošanai, kā arī tās funkcionalitātes nodrošināšanai (ietverot arī dabā balstītus risinājumus un ar pielāgošanos klimata pārmaiņām saistītu civilās aizsardzības nodrošinājumu), kas vērstas uz: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kabinets 2024.gada 9.janvārī skatīja informatīvo ziņojumu "Par tālāko rīcību patvertņu jautājumā" (prot.Nr.1, 95.§) un atbalstīja tajā iekļauto risinājumu civiliedzīvotāju aizsardzības veida – patveršanās patvertnēs – ieviešanai, lūdzam projekta 23.punktu papildināt ar apakšpunktu attiecībā uz patvertņu un vietām, kur patverties, atjaunošanu un ierīkošanu.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civilās aizsardzības patvertņu vai vietas, kur patverties, atjaunošana vai izveide;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tiešās attiecināmās izmaksas pirmās atlases kārtas ietvaros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kabinets 2024.gada 9.janvārī skatīja informatīvo ziņojumu "Par tālāko rīcību patvertņu jautājumā" (prot.Nr.1, 95.§) un atbalstīja tajā iekļauto risinājumu civiliedzīvotāju aizsardzības veida – patveršanās patvertnēs – ieviešanai, lūdzam projekta 27.punktu papildināt ar apakšpunktu attiecībā uz patvertņu un vietām, kur patverties, atjaunošanu un ierīkošanu.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civilās aizsardzības patvertņu vai vietas, kur patverties, atjaunošana vai izveide;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05.02.2024.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05.02.2024.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Atzinumi_23-TA-2118.docx</dc:title>
</cp:coreProperties>
</file>

<file path=docProps/custom.xml><?xml version="1.0" encoding="utf-8"?>
<Properties xmlns="http://schemas.openxmlformats.org/officeDocument/2006/custom-properties" xmlns:vt="http://schemas.openxmlformats.org/officeDocument/2006/docPropsVTypes"/>
</file>