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25-TA-1380: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16. jūnija noteikumos Nr. 310 "Noteikumi par Latvijas būvnormatīvu LBN 231-15 "Dzīvojamo un publisko ēku apkure un ventilācija""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attiecīgi precizēt noteikumu projekta anotācijas 1.3. sadaļu “Pašreizējā situācija, problēmas un risinājumi”, jo šobrīd tajā ir ietvers nepilnīgs problēmas un risinājuma apraksts, kas ir attiecināts uz </w:t>
            </w:r>
            <w:r w:rsidR="00000000" w:rsidRPr="00000000" w:rsidDel="00000000">
              <w:rPr>
                <w:u w:val="single"/>
                <w:rtl w:val="0"/>
              </w:rPr>
              <w:t xml:space="preserve">ēku iekšējo elektroinstalāciju</w:t>
            </w:r>
            <w:r w:rsidR="00000000" w:rsidRPr="00000000" w:rsidDel="00000000">
              <w:rPr>
                <w:rtl w:val="0"/>
              </w:rPr>
              <w:t xml:space="preserve">, nevis dzīvojamo un publisko ēku apkuri un ventilāciju.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Precizējot noteikumu projekta anotāciju, aicinām tajā detalizēti skaidrot noteikumu projekta 1.4. apakšpunktu (būvnormatīva 15.3 punkts), 1.5. apakšpunktu (būvnormatīva 25.1 punkts) un 1.6. apakšpunktu (būvnormatīva 25.14. apakšpunkts), tādā veidā nodrošinot tiesību normas piemērotājam izpratni par minētajos apakšpunktos ietverto tehnisko iespēju un ekonomiskās pamatotības kritērijiem. Kā piemēru norādām Ministru kabineta 2020. gada 16. jūnija noteikumu Nr. 385 “Grozījumi Ministru kabineta 2015. gada 16. jūnija noteikumos Nr. 310 “Noteikumi par Latvijas būvnormatīvu LBN 231-15 “Dzīvojamo un publisko ēku apkure un ventilācija””” anotācijā sniegto skaidrojumu par dzīvojamo telpu grupu un nedzīvojamo telpu grupu aprīkošanu ar attālināti nolasāmiem individuālajiem siltumenerģijas patēriņa skaitītājiem vai individuāliem siltuma maksas sadalītājiem, kurā ir paskaidrotas gan tehniskās iespējas iepriekš minēto skaitītāju vai sadalītāju uzstādīšanai, gan ekonomiskā pamatojuma izvērtēšanas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noteikumu projekta 1.4., 1.5. un 1.6. apakšpunktu aicinām ievērot tiesiskās noteiktības principu un paredzēt samērīgu termiņu līdz kuram minētajos apakšpunktos iekļautie nosacījumi neattieksies (termiņš līdz kuram uz būvniecības ieceres dokumentāciju, kas noteiktā kārtībā būs saskaņota (akceptēta) vai iesniegta saskaņošanai institūcijā, kas pilda būvvaldes funkcijas, nosacījumi neattieksies).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noteikumu projektā noteiktais noteikumu stāšanās spēkā termiņš 2026. gada 29. maijā nav obligāti attiecināms uz visiem apakšpunktiem, jo, piemēram, Eiropas Parlamenta un Padomes 2024. gada 24. aprīļa direktīvas (ES) Nr. 2024/1275 par ēku energoefektivitāti 13. panta 12. punkts paredz, ka dalībvalstis nosaka prasības, lai nodrošinātu, ja tas ir tehniski un ekonomiski iespējams, ka nedzīvojamās ēkas, kuru apkures sistēmu, gaisa kondicionēšanas sistēmu, kombinēto telpu apkures un ventilācijas sistēmu, vai kombinēto gaisa kondicionēšanas un ventilācijas sistēmu lietderīgā nominālā jauda: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pārsniedz 290 kW, – līdz 2027. gada 31. decembrim tiek aprīkotas ar automātiskām apgaismojuma vadības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pārsniedz 70 kW, – līdz 2029. gada 31. decembrim tiek aprīkotas ar automātiskām apgaismojuma vadības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Automātiskās apgaismojuma vadības ierīces ir izvietotas piemērotās zonās, un tās spēj konstatēt klātbūtni.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anotācijā tiek paredzēti termiņi, līdz kuram attiecīgie nosacījumi uz kādu no apakšpunktiem netiek piemēroti, tad attiecīgi nepieciešams precizēt noteikumu projekta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25-TA-1380</w:t>
    </w:r>
    <w:r>
      <w:br/>
    </w:r>
    <w:r w:rsidR="00000000" w:rsidRPr="00000000" w:rsidDel="00000000">
      <w:rPr>
        <w:rtl w:val="0"/>
      </w:rPr>
      <w:t xml:space="preserve">Izdrukāts 13.02.2026.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25-TA-1380</w:t>
    </w:r>
    <w:r>
      <w:br/>
    </w:r>
    <w:r w:rsidR="00000000" w:rsidRPr="00000000" w:rsidDel="00000000">
      <w:rPr>
        <w:rtl w:val="0"/>
      </w:rPr>
      <w:t xml:space="preserve">Izdrukāts 13.02.2026.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Atzinumi_25-TA-1380.docx</dc:title>
</cp:coreProperties>
</file>

<file path=docProps/custom.xml><?xml version="1.0" encoding="utf-8"?>
<Properties xmlns="http://schemas.openxmlformats.org/officeDocument/2006/custom-properties" xmlns:vt="http://schemas.openxmlformats.org/officeDocument/2006/docPropsVTypes"/>
</file>