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Veršam uzmanību, ka pieejamība nozīmē vides/objekta/pakalpojuma pieejamību vai esamību kopumā. Savukārt piekļūstamība nozīmē, ka konkrētajai videi/objektam/pakalpojumam ir iespēja fiziski piekļūt un to var lietot, izmantojot vairākus sensoros (redze, dzirde, tauste) kanālus. Tādējādi pieejamība var izslēgt piekļūstamību, savukārt piekļūstamība ietver arī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paredz, ka uzsākot dalību projekta iesniegumu atlasē pašvaldība veic speciālās izglītības iestāžu tīkla sakārtošanu (ja attiecināms), nodrošinot, ka tās administratīvajā teritorijā pēc 2025. gada 31. augusta darbojas ne vairāk kā viena speciālās izglītības iestāde (</w:t>
            </w:r>
            <w:r w:rsidR="00000000" w:rsidRPr="00000000" w:rsidDel="00000000">
              <w:rPr>
                <w:b w:val="1"/>
                <w:rtl w:val="0"/>
              </w:rPr>
              <w:t xml:space="preserve">izņemot Rīgas valstspilsētu</w:t>
            </w:r>
            <w:r w:rsidR="00000000" w:rsidRPr="00000000" w:rsidDel="00000000">
              <w:rPr>
                <w:rtl w:val="0"/>
              </w:rPr>
              <w:t xml:space="preserve">). Vēršam uzmanību uz to, ka Izglītības un zinātnes ministrijas sagatavotais informatīvais ziņojums “Par speciālās izglītības iestāžu tīkla izvērtējumu” (9.nodaļa) paredz, ka pēc administratīvi teritoriālās reformas, būtu jāizveido viena mūsdienīga speciālās izglītības iestāde katrā novadā vai uz diviem novadiem viena (</w:t>
            </w:r>
            <w:r w:rsidR="00000000" w:rsidRPr="00000000" w:rsidDel="00000000">
              <w:rPr>
                <w:b w:val="1"/>
                <w:rtl w:val="0"/>
              </w:rPr>
              <w:t xml:space="preserve">izņemot valstspilsētas</w:t>
            </w:r>
            <w:r w:rsidR="00000000" w:rsidRPr="00000000" w:rsidDel="00000000">
              <w:rPr>
                <w:rtl w:val="0"/>
              </w:rPr>
              <w:t xml:space="preserve">), pašvaldībām savstarpēji vienojoties, kuras speciālās izglītības iestādes ir attīstāmas.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noteikuma projekta 14.punktu, nosakot, ka ar speciālo izglītības iestāžu tīkla sakārtošanu tās administratīvajā teritorijā pēc 2025.gada 31.augusta darbojas ne vairāk kā viena speciālās izglītības iestāde (izņemot valstspilsētas), vai anotācijā skaidrot, kāpēc citās valstpilsētās, izņemot Rīgu, pēc speciālo izglītības iestāžu tīkla sakārtošanas drīkstēs darboties ne vairāk kā viena speciālās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īstenošanu praksē,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nodrošināšanai, ja tās ir nepieciešamas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vides pieejamības ekspertu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ANO Konvencijā par personu ar invaliditāti tiesībām noteikto vienlīdzīgu iespēju principu, proti, tiesības uz piekļūstamu fizisko un informatīvo (t.sk. digitālo) vidi, lūdzam paredzēt ekspertu konsultācijas ne tikai attiecībā uz būvētās vides piekļūstamību, bet bet arī attiecībā uz IT risinājumu, IT tehnoloģiju piekļūstamību. Tas būs īpaši svarīgi, īstenojot noteikumu projekta 17.2., 17.3. un 17.4. apakšpunktos minētās atbalstāmās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konsultācijas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Vēršma uzmanību, ka noteikumu projektā nav 20.1.2punkts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25.2.1.2. vides un informācijas piekļūstamības pašnovērtējuma rezultāts (iegūtais punktu skaits) atbilst Labklājības ministrijas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HP rādītāja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(skat.4.pielikumu).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LM metodikai, objekts ir piekļūstams, ja pašnovērtējumā iegūtais punktu skaits ir 8 un vairāk.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vides un informācijas piekļūstamības pašnovērtējumu skaits, atbilstoši LM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25.2.1.3. konsultatīva rakstura pasākumu par būvētās vides piekļūstamību personām ar dažādiem funkcionāliem traucējumiem (piemēram, vides piekļūstamības ekspertu konsultācijas būvprojekta izstrādes un pabeigšanas posmā)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HP rādītāja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(skat.4.pielikumu).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 rakstura pasākumu skaits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rindkopā "Līdzīgi kā vispārizglītojošajās izglītības iestādēs arī speciālās izglītības iestādēs demogrāfiskās, migrācijas un nodarbinātības tendences Latvijā ir radījušas būtisku ietekmi, kā rezultātā pēdējos gados ir būtiski samazinājies izglītojamo skaits speciālās izglītības iestādēs – laika posmā no 2017. gada līdz 2022. gadam izglītojamo skaits tajās samazinājies par aptuveni 25 procentiem – </w:t>
            </w:r>
            <w:r w:rsidR="00000000" w:rsidRPr="00000000" w:rsidDel="00000000">
              <w:rPr>
                <w:b w:val="1"/>
                <w:rtl w:val="0"/>
              </w:rPr>
              <w:t xml:space="preserve">no 5 861 līdz 4 432,</w:t>
            </w:r>
            <w:r w:rsidR="00000000" w:rsidRPr="00000000" w:rsidDel="00000000">
              <w:rPr>
                <w:rtl w:val="0"/>
              </w:rPr>
              <w:t xml:space="preserve"> savukārt iestāžu skaits samazinājies no 57 līdz 40" sniegt informāciju par izglītojamo skaitu sadalījumā pēc dzimuma.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speciālajās izglītības iestādēs mācās bērni ar speciālajām vajadzībām (t.sk. ar dažāda veida invaliditāti un funkcionēšanas ierobežojumiem), lūdzam papildināt Anotācijas 8.1.9.apakšpunktu ar informāciju, kā noteikumu projekta īstenošanas rezultātā tiks uzlabota fiziskās vides, informācijas, mācību vides piekļūstamība (piemēram, uzbrauktuves un sanitārās telpas personām ar kustību traucējumiem; dzirdes cilpas un subtitrēšanas iespējas vājdzirdīgām personām; vadulas, taktilas norādes, braila raksts neredzīgām vai vājredzīgām personām; tāpat arī informācija vieglajā valodā personām ar garīga rakstura traucējumiem vai uztveres grūtībām). Tādējādi atbilstoša telpu infrastruktūra un piekļūstamības prasībām atbilstoši publicitātes pasākumi sniegs ieguvumu gan izglītojamiem ar speciālām vajadzībām, gan iestāžu personālam (kas arī var būt personas ar invaliditāti), gan sabiedrībai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[1] , lūdzam rast iespēju papildināt sadaļu ar informāciju par vispārīgajām un specifiskajām darbībām, kuras veicinās personu ar invaliditāti vienlīdzīgām iespējām un tiesības un kuras plānots īstenots projektu ietvaros, minot konkrētu darbību piemērus.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pozitīva ietekme uz horizontālā principa “Vienlīdzība, iekļaušana, nediskriminācija un pamattiesību ievērošana” ievērošanu. Noteikumu projektā paredzēts, ka finansējuma saņēmējs uzkrāj datus par projekta ietekmi uz noteiktiem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ir tiks īstenotas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lūdzam papildināt sadaļu ar informāciju par ietekmi uz horizontālo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horizontālā principa “Vienlīdzība, iekļaušana, nediskriminācija un pamattiesību ievērošana” ievērošanu, tādēļ plānotas vispārīgas horizontālā principa darbības, kas vērstas uz dzimumu līdztiesību, piemēram, projekta vadības un īstenošanas personālam – gan sievietēm, gan vīriešiem nodrošināta vienlīdzīga darba samaksa un vienlīdzīgas karjeras izaugsmes iespējas, tostarp nodrošinot dalību apmācībās, semināros, komandējumos,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8.1.16. punktu, ņemot vērā, ka pasākuma mērķa grupa ir arī izglītojamie, t.i.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Grāveris (LM) (Zanda Beinare (LM)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05.07.2023.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05.07.2023.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Atzinumi_23-TA-1337.docx</dc:title>
</cp:coreProperties>
</file>

<file path=docProps/custom.xml><?xml version="1.0" encoding="utf-8"?>
<Properties xmlns="http://schemas.openxmlformats.org/officeDocument/2006/custom-properties" xmlns:vt="http://schemas.openxmlformats.org/officeDocument/2006/docPropsVTypes"/>
</file>