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ietvaros finansējuma saņēmējiem un sadarbības partneriem sniedz atbalstu darbībām, kam nav saimnieciska rakstura. Ar kultūru vai mākslu saistītām darbībām, no kurām tiek gūti ieņēmumi, nav saimnieciska rakstura, ja finansējuma saņēmēja un sadarbības partnera paša ieņēmumi ir mazāki par 50 procentiem no kopējā ar kultūru vai mākslu saistītā finansējuma saņēmēja un sadarbības partnera gada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attiecībā uz to, ka uz organizāciju darbībām, kas nav kvalificējamas kā darbības ar kultūras mērķi, nav attiecināmi tādi komercdarbības atbalsta izslēdzošie nosacījumi, kas attiecināmi uz organizāciju darbībām ar kultūras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biedrību - asociāciju, savienību, padomju utml. - darbībām, kas atbilst profesionālo organizāciju darbībām, ir attiecināmi tie paši nosacījumi, kā uz jebkuru citu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noteikumu projekts paredz atbalstu virknei biedrību, kas veic gan darbības, kas nav kvalificējamas kā darbības ar kultūras mērķi, gan var veikt darbības, kas ir kvalificējamas kā darbības ar kultūras mērķi (atbilstoši skaidrotajam pie izziņas 13.punkta),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noteikumus papildināt ar nosacījumu, ka finansējuma saņēmējs un sadarbības partneris skaidri nodala ar kultūru vai mākslu saistītās darbības no darbībām, kas nav kvalificējamas kā darbības ar kultūras mērķi, lai viennozīmīgi skaidrs, ka tādām darbībām, kas nav kvalificējamas kā darbības ar kultūras mērķi, atbalsts netiek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iekļaut skaidrojumu, kādām ar kultūras mērķi saistītām darbībām atbalsts tiek sniegts (sk. piemēram, Komisijas regulas (ES) Nr. 651/2014, ar ko noteiktas atbalsta kategorijas atzīst par saderīgām ar iekšējo tirgu, piemērojot Līguma 107. un 108. pantu, 53.panta 5.punktā iekļautos skaidrojumus), papildus skaidrojot, kā atbalsta sniedzējs vērtē, vai atbalsts darbībām ar kultūras mērķi ir piešķirts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28.punktu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ietvaros finansējuma saņēmējiem un sadarbības partneriem sniedz atbalstu ar kultūru vai mākslu saistītām darbībām, kam nav saimnieciska rakstura. Saimniecisks raksturs nav tādām ar kultūru vai mākslu saistītām darbībām, ja finansējuma saņēmēja un sadarbības partnera paša ieņēmumi no šādām darbībām ir mazāki par 50 procentiem no kopējā finansējuma saņēmēja un sadarbības partnera gada budžeta veicot ar kultūru vai mākslu saistītās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tiešās attiecināmās izmaksas, nepārsniedzot pielikumā noteikto finansējuma saņēmējam un sadarbības partnerim noteikto kopējo finansējuma apmēru, kas sekmē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22.punkta apakšpunktos projektu attiecināmās izmaksas sadalīt un definēt atbilstoši plānotajām izmaksu pozīcijām, kurām tiks piemērotas vienkāršotās izmaksas atbilstoši atbildīgās iestādes izstrādātajai metodikai.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tiešās attiecināmās izmaksas, nepārsniedzot pielikumā noteikto finansējuma saņēmējam un sadarbības partnerim noteikto kopējo finansējuma apmēru, kas sekmē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Tiešajām attiecināmajām izmaksām nepieciešams piemērot vienkāršotās izmaksas, pamatojoties uz Regulas Nr. 1303/2013 67. panta 2.a punktu, kas nosaka, ka projektos, kuri saņem atbalstu no ERAF un ESF un kam publiskais atbalsts nepārsniedz 100 000 EUR, obligāti jāpiemēro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finansējuma saņēmēja starptautiskās sadarbības īstenošanas izmaksas, tai skaitā dalības un ārvalstu komandējumu izmaksas, lai nodrošinātu dalību pasākumos, kas nepieciešami organizācijas profesionālās kapacitātes un izaugsmes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Finanšu ministrijas kā ES fondu vadošās iestādes vadlīniju Nr. 2.1. “Vadlīnijas attiecināmo un neattiecināmo izmaksu noteikšanai 2014.-2020.gada plānošanas periodā” 64.punkta 44.zemsvītras atsaucē norādīto: “Ārvalstu komandējumu izmaksas attiecināmas tikai projekta īstenošanas personālam un projekta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22.5.punktu atbilstoši piedāvātajai redakcijai (precizētā daļa iezīmēta).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w:t>
            </w:r>
            <w:r w:rsidR="00000000" w:rsidRPr="00000000" w:rsidDel="00000000">
              <w:rPr>
                <w:b w:val="1"/>
                <w:shd w:fill="#3498db" w:val="clear"/>
                <w:rtl w:val="0"/>
              </w:rPr>
              <w:t xml:space="preserve">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maksimālo avansa procentuālo apmēru, lai visiem finansējuma saņēmējiem būtu skaidra avansu izmaksāšanas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07.12.2022.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07.12.2022.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Atzinumi_22-TA-3277.docx</dc:title>
</cp:coreProperties>
</file>

<file path=docProps/custom.xml><?xml version="1.0" encoding="utf-8"?>
<Properties xmlns="http://schemas.openxmlformats.org/officeDocument/2006/custom-properties" xmlns:vt="http://schemas.openxmlformats.org/officeDocument/2006/docPropsVTypes"/>
</file>