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galvenie nosacījumi jeb kritēriji izdevumu kompensēšanai būtu ietverami pašā informatīvajā ziņojumā. Šāda pieeja sekmētu vienveidīgu izdevumu kompensēšanas mehānisma piemērošanu, izvairoties no neatbilstošām interpretācijām, samazinātu risku, ka pašvaldības nav iesniegušas izdevumu kompensēšanai visu nepieciešamo informāciju, kā arī atvieglotu uzdevuma izpildi arī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iesakām ziņojumā ietvert arī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kādi izdevumi tiek atlīdzināti – darba stundas, virsstundas, degvielas izdevumi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pierādījumi par izdevumiem un tos apliecinošie dokumenti uzkrājami katrā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izdevumi atlīdzināmi, balstoties uz pašvaldības pieprasījumu par faktiskajām izmaksām, ar nosacījumu, ka visi pierādījumi, kas apliecina radušos izdevumus, ir pašvaldībā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kontrole tiek veikta izlases kārtībā pāris lietām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izdevumus atlīdzina tikai par to laiku, kamēr bērns atrodas Latvijas teritorijā (lai nebūtu tā, ka bērns patvaļīgi devies prom, bet pašvaldībai izdevumus valsts joprojām kompensē);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pieprasījumu saņemšanai izveidojama Valsts kases pārskata forma. Pārskatā iekļaujamas šādas ziņas: pašvaldības izlietotais finansējums par izdevumiem, kas saistīti ar nepavadīto nepilngadīgo patvēruma meklētāju; bērnu skaits; pašvaldības konts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izdevumi atlīdzināmi reizi ceturksnī vai reizi pusgadā.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tiktu iekļauta informatīvajā ziņojuma, tad nebūtu nepieciešams pēc ziņojuma izskatīšanas Ministru kabinetā papildus gatavot vēl arī speciālu metodiku pašvaldībām par izmaksu atbilstību un to pamatojošiem dokumentiem, kā arī sniegt pašvaldībām metodisko atbalstu informācijas (dokumentu) sagatavošanai, kā to norādījusi Viedās administrācijas un reģionālās attīstības ministrija 2025. gada 19. septembra atzinumā nr. 24-TA-1014.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