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tajā iekļaujot apsvērumus noteikumu projekta 14.1.apakšpunktā iekļautajai normai, kurā noteikts, ka bezemisiju transportlīdzekļu iegādes veicināšana un atbilstošas infrastruktūras izveide vai modernizēšana paredzēta komersantiem, kuru īpašumā ir un savā darbībā izmanto autoparku ar vismaz pieciem transportlīdzekļiem, pamatojot piecu transportlīdzekļu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Adamsons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