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Latvijas Republikas pārstāvja dalībai COREPER instrukcija ir obligāta, un to izstrādā saskaņā ar Ministru kabineta instrukciju.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nosacījumu, ka instrukcija uz COREPER ir obligāta. Nav skaidrs, kāpēc nepieciešams papildus dokuments, ja par attiecīgajiem COREPER darba kārtības jautājumiem īss viedoklis tiek publicēts ESVIS sadaļā "pirmddienas piezīmes".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pārstāvja dalībai COREPER instrukcija ir obligāta jautājumiem, par kur plānotas diskusijas, un to izstrādā saskaņā ar Ministru kabineta instrukciju.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Republikas pārstāvis Eiropas Savienības ministru padomēs un Eiropadomē pārstāv Latvijas Republikas viedokli, pamatojoties uz pozīciju, to kopumu, vismaz Ministru kabineta līmenī apstiprinātu politikas plānošanas dokumentu vai informatīvo ziņojumu gadījumos, kas definēti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korekts formulējums: LR pārstāvis </w:t>
            </w:r>
            <w:r w:rsidR="00000000" w:rsidRPr="00000000" w:rsidDel="00000000">
              <w:rPr>
                <w:b w:val="1"/>
                <w:rtl w:val="0"/>
              </w:rPr>
              <w:t xml:space="preserve">pārstāv </w:t>
            </w:r>
            <w:r w:rsidR="00000000" w:rsidRPr="00000000" w:rsidDel="00000000">
              <w:rPr>
                <w:b w:val="1"/>
                <w:rtl w:val="0"/>
              </w:rPr>
              <w:t xml:space="preserve">LR</w:t>
            </w:r>
            <w:r w:rsidR="00000000" w:rsidRPr="00000000" w:rsidDel="00000000">
              <w:rPr>
                <w:rtl w:val="0"/>
              </w:rPr>
              <w:t xml:space="preserve">, </w:t>
            </w:r>
            <w:r w:rsidR="00000000" w:rsidRPr="00000000" w:rsidDel="00000000">
              <w:rPr>
                <w:b w:val="1"/>
                <w:rtl w:val="0"/>
              </w:rPr>
              <w:t xml:space="preserve">nevis LR</w:t>
            </w:r>
            <w:r w:rsidR="00000000" w:rsidRPr="00000000" w:rsidDel="00000000">
              <w:rPr>
                <w:rtl w:val="0"/>
              </w:rPr>
              <w:t xml:space="preserve"> </w:t>
            </w:r>
            <w:r w:rsidR="00000000" w:rsidRPr="00000000" w:rsidDel="00000000">
              <w:rPr>
                <w:b w:val="1"/>
                <w:rtl w:val="0"/>
              </w:rPr>
              <w:t xml:space="preserve">viedokli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pārstāvis Eiropas Savienības ministru padomēs un Eiropadomē </w:t>
            </w:r>
            <w:r w:rsidR="00000000" w:rsidRPr="00000000" w:rsidDel="00000000">
              <w:rPr>
                <w:b w:val="1"/>
                <w:rtl w:val="0"/>
              </w:rPr>
              <w:t xml:space="preserve">pauž</w:t>
            </w:r>
            <w:r w:rsidR="00000000" w:rsidRPr="00000000" w:rsidDel="00000000">
              <w:rPr>
                <w:rtl w:val="0"/>
              </w:rPr>
              <w:t xml:space="preserve"> Latvijas Republikas viedokli, pamatojoties uz informatīvo ziņojumu un, ja nepieciešams, pozīciju, to kopumu, vai citu politikas plānošanas dokumentu oficiālā viedokļa paušanai.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Vecāko amatpersonu sanāksme nosaka par Eiropas Savienības politikas dokumentiem, Eiropas Savienības tiesību aktu projektiem vai citiem jautājumiem atbildīgās un līdzatbildīgās iestādes. Ja nav iespējams panākt vienošanos par atbildības sadalījumu, Vecāko amatpersonu sanāksme lemj par jautājuma iesniegšanu izskatīšanai Valsts sekretāru sanāksmē četru nedēļu laikā, bet ne vēlāk kā pirms jautājuma izskatīšanas pēc būtības oficiālos Eiropas Savienības diskusiju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Jāatrunā arī kārtība gadījumos,  ja jautājumu strauji iekļaut izskatīšanai kādā no Padomes formātiem, bet atbildības nav sadalītas.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Vecāko amatpersonu sanāksme nosaka par Eiropas Savienības politikas dokumentiem, Eiropas Savienības tiesību aktu projektiem vai citiem jautājumiem atbildīgās un līdzatbildīgās iestādes. Ja nav iespējams panākt vienošanos par atbildības sadalījumu, Vecāko amatpersonu sanāksme lemj par jautājuma iesniegšanu izskatīšanai Valsts sekretāru sanāksmē četru nedēļu laikā, bet ne vēlāk kā pirms jautājuma izskatīšanas pēc būtības oficiālos Eiropas Savienības diskusiju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terminu "citi jautājumi" ; Vai VAS skatīs visus ES Padomes darba grupu darba kārtībā izskatāmos jautājumus, lai lemtu par katras atbildīgo un lidzatbildīgo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Pozīcijas paraugu un detalizētu tās izstrādes un saskaņošanas kārtību, instrukcijas paraugu un detalizētu tās izstrādes, saskaņošanas un apstiprināšanas kārtību, kā arī informācijas aprites kārtību starp Eiropas Savienības iestādēm un Latvijas Republikas pastāvīgo pārstāvniecību Eiropas Savienībā (turpmāk – pārstāvniecība), koordinējošo iestādi un pārējām pozīciju un instrukciju izstrādē iesaistītajām iestādēm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būtu lietderīgi apsvērt iespēju apvienot šos dokumentus (noteikumus un instrukciju), jo pašreizējā sadale, šķiet, nerada būtisku pievienoto vērtību un var radīt lieku sarežģītību.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Šajos noteikumos minēto dokumentu un informācijas apritei starp valsts iestādēm izmanto Valsts digitālās attīstības aģentūras pārziņā esošo valsts informācijas sistēmu darbam ar Eiropas Savienības dokumentiem (turpmāk – sistēma ESVIS). Sistēmas ESVIS darbības pamatnoteikumus, pārziņa pienākumus, lietotājus un to tiesību apjomu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alternatīvas metodes dokumentu apritei t.sk. iesniegšanai MK, gadījumos, ja ESVIS nestrādā tehnisku iemeslu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minēto dokumentu un informācijas apritei starp valsts iestādēm tiek izmantota Valsts reģionālās attīstības aģentūras pārziņā esoša valsts informācijas sistēma darbam ar Eiropas Savienības dokumentiem [MR1] (turpmāk – sistēma ESVIS). Sistēmas ESVIS darbības pamatnoteikumus, pārziņa pienākumus, lietotājus un to tiesību apjomu nosaka Ministru kabineta instrukcija. Gadījumā, ja sistēma ESVIS nav pieejama tehnisku apstākļu dēļ, informācijas apritei tiek izmantots elektroniskais pasts un dokumentu iesniegšanai apstiprināšanai Ministru kabinetā izmanto Tiesību aktu projektu portālu (TAP).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Pozīciju vai informatīvo ziņojumu iesniedz izskatīšanai Ministru kabinetā un Saeimā (Saeimas Eiropas lietu komisijā), izmantojot sistēmu ESVIS.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Pozīciju vai informatīvo ziņojumu iesniedz izskatīšanai Ministru kabinetā, izmantojot sistēmu ESVIS, saskaņā ar šo noteikumu 13. 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Saeima (Saeimas Eiropas lietu komisija) apstiprina pozīciju pirms tās izskatīšanas Ministru kabinetā, to uzskata par galīgi apstiprinātu un atbildīgā iestāde par to informē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jāatrunā gadījumi, kad SELK pozīciju var izskatīt pirms MK un kārtība kādā tiek informēts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pozīcija satur diplomātiskā un konsulārā dienesta informāciju, kurai noteikts pieejamības ierobežojums saskaņā ar Diplomātiskā un konsulārā dienesta likuma 26.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šajos MK noteikumos tiek likta atsauce uz Diplomātiskā un konsulārā dienesta likuma 26.panta otro daļu, tad ir jāgroza šī likuma 26 pants. Lūdzam skaidrot atšķirību starp to informāciju ko ES formātos iegūst AM un pārējās nozaru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Mūrmane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